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494153B0"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6A59C0">
        <w:t>3</w:t>
      </w:r>
      <w:r w:rsidRPr="00F54003">
        <w:tab/>
      </w:r>
      <w:r w:rsidRPr="008B5E21">
        <w:rPr>
          <w:szCs w:val="24"/>
        </w:rPr>
        <w:t>R2-</w:t>
      </w:r>
      <w:r w:rsidR="00120B7F" w:rsidRPr="008B5E21">
        <w:rPr>
          <w:szCs w:val="24"/>
        </w:rPr>
        <w:t>2</w:t>
      </w:r>
      <w:r w:rsidR="006A59C0" w:rsidRPr="008B5E21">
        <w:rPr>
          <w:szCs w:val="24"/>
        </w:rPr>
        <w:t>6</w:t>
      </w:r>
      <w:r w:rsidR="008B5E21" w:rsidRPr="008B5E21">
        <w:rPr>
          <w:szCs w:val="24"/>
        </w:rPr>
        <w:t>00337</w:t>
      </w:r>
    </w:p>
    <w:p w14:paraId="5104E0A7" w14:textId="54627F92" w:rsidR="006255E7" w:rsidRPr="00CF0FF8" w:rsidRDefault="006A59C0" w:rsidP="00F529AE">
      <w:pPr>
        <w:pStyle w:val="CRCoverPage"/>
        <w:jc w:val="both"/>
        <w:outlineLvl w:val="0"/>
        <w:rPr>
          <w:b/>
          <w:noProof/>
          <w:sz w:val="24"/>
        </w:rPr>
      </w:pPr>
      <w:r>
        <w:rPr>
          <w:b/>
          <w:noProof/>
          <w:sz w:val="24"/>
        </w:rPr>
        <w:t>Gothenburg</w:t>
      </w:r>
      <w:r w:rsidR="006255E7" w:rsidRPr="00CF0FF8">
        <w:rPr>
          <w:b/>
          <w:noProof/>
          <w:sz w:val="24"/>
        </w:rPr>
        <w:t xml:space="preserve">, </w:t>
      </w:r>
      <w:r>
        <w:rPr>
          <w:b/>
          <w:noProof/>
          <w:sz w:val="24"/>
        </w:rPr>
        <w:t>Sweden</w:t>
      </w:r>
      <w:r w:rsidR="006255E7" w:rsidRPr="00CF0FF8">
        <w:rPr>
          <w:b/>
          <w:noProof/>
          <w:sz w:val="24"/>
        </w:rPr>
        <w:t xml:space="preserve">, </w:t>
      </w:r>
      <w:r>
        <w:rPr>
          <w:b/>
          <w:noProof/>
          <w:sz w:val="24"/>
        </w:rPr>
        <w:t>9</w:t>
      </w:r>
      <w:r w:rsidR="001540E1" w:rsidRPr="00CF0FF8">
        <w:rPr>
          <w:b/>
          <w:noProof/>
          <w:sz w:val="24"/>
        </w:rPr>
        <w:t>-</w:t>
      </w:r>
      <w:r>
        <w:rPr>
          <w:b/>
          <w:noProof/>
          <w:sz w:val="24"/>
        </w:rPr>
        <w:t>13</w:t>
      </w:r>
      <w:r w:rsidR="00E455C2" w:rsidRPr="00CF0FF8">
        <w:rPr>
          <w:b/>
          <w:noProof/>
          <w:sz w:val="24"/>
        </w:rPr>
        <w:t xml:space="preserve"> </w:t>
      </w:r>
      <w:r>
        <w:rPr>
          <w:b/>
          <w:noProof/>
          <w:sz w:val="24"/>
        </w:rPr>
        <w:t>February</w:t>
      </w:r>
      <w:r w:rsidR="00E455C2" w:rsidRPr="00CF0FF8">
        <w:rPr>
          <w:b/>
          <w:noProof/>
          <w:sz w:val="24"/>
        </w:rPr>
        <w:t xml:space="preserve"> 202</w:t>
      </w:r>
      <w:r>
        <w:rPr>
          <w:b/>
          <w:noProof/>
          <w:sz w:val="24"/>
        </w:rPr>
        <w:t>6</w:t>
      </w:r>
    </w:p>
    <w:p w14:paraId="432B3E09" w14:textId="77777777" w:rsidR="00E90E49" w:rsidRPr="00CF0FF8" w:rsidRDefault="00E90E49" w:rsidP="0060035A">
      <w:pPr>
        <w:pStyle w:val="3GPPHeader"/>
      </w:pPr>
    </w:p>
    <w:p w14:paraId="6CF7B12A" w14:textId="5BE16A1E" w:rsidR="00E90E49" w:rsidRPr="00CF0FF8" w:rsidRDefault="00E90E49" w:rsidP="0060035A">
      <w:pPr>
        <w:pStyle w:val="3GPPHeader"/>
      </w:pPr>
      <w:r w:rsidRPr="00CF0FF8">
        <w:t>Agenda Item:</w:t>
      </w:r>
      <w:r w:rsidRPr="00CF0FF8">
        <w:tab/>
      </w:r>
      <w:r w:rsidR="0093360A">
        <w:t>10.3.2.</w:t>
      </w:r>
      <w:r w:rsidR="00323A2C">
        <w:t>2</w:t>
      </w:r>
    </w:p>
    <w:p w14:paraId="7554868D" w14:textId="1A5C2288" w:rsidR="00E90E49" w:rsidRPr="00CF0FF8" w:rsidRDefault="003D3C45" w:rsidP="0060035A">
      <w:pPr>
        <w:pStyle w:val="3GPPHeader"/>
      </w:pPr>
      <w:r w:rsidRPr="00CF0FF8">
        <w:t>Source:</w:t>
      </w:r>
      <w:r w:rsidR="00E90E49" w:rsidRPr="00CF0FF8">
        <w:tab/>
      </w:r>
      <w:r w:rsidR="00E56958" w:rsidRPr="00CF0FF8">
        <w:t>MediaTek Inc.</w:t>
      </w:r>
    </w:p>
    <w:p w14:paraId="46BAB773" w14:textId="0B12F0DC" w:rsidR="00E90E49" w:rsidRPr="00CF0FF8" w:rsidRDefault="003D3C45" w:rsidP="0060035A">
      <w:pPr>
        <w:pStyle w:val="3GPPHeader"/>
      </w:pPr>
      <w:r w:rsidRPr="00CF0FF8">
        <w:t>Title:</w:t>
      </w:r>
      <w:r w:rsidR="00E90E49" w:rsidRPr="00CF0FF8">
        <w:tab/>
      </w:r>
      <w:r w:rsidR="00E014A3">
        <w:t>Practical solution</w:t>
      </w:r>
      <w:r w:rsidR="00041D07">
        <w:t>s</w:t>
      </w:r>
      <w:r w:rsidR="00E014A3">
        <w:t xml:space="preserve"> for</w:t>
      </w:r>
      <w:r w:rsidR="00323A2C">
        <w:t xml:space="preserve"> RRC reconfiguration failure</w:t>
      </w:r>
    </w:p>
    <w:p w14:paraId="54F66550" w14:textId="5B5E7FBF" w:rsidR="00E90E49" w:rsidRPr="00CF0FF8" w:rsidRDefault="00E90E49" w:rsidP="0060035A">
      <w:pPr>
        <w:pStyle w:val="3GPPHeader"/>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1B4E7CFA" w14:textId="16A1A879" w:rsidR="00323A2C" w:rsidRDefault="00323A2C" w:rsidP="00E014A3">
      <w:pPr>
        <w:jc w:val="left"/>
      </w:pPr>
      <w:r>
        <w:t xml:space="preserve">During RAN2#131bis and #132 meetings, discussion of partial RRC reconfiguration success/failure has taken place. Overall, the </w:t>
      </w:r>
      <w:r w:rsidR="00581529">
        <w:t>proponents</w:t>
      </w:r>
      <w:r>
        <w:t xml:space="preserve"> are concerned about </w:t>
      </w:r>
      <w:r w:rsidR="00581529">
        <w:t xml:space="preserve">RRC connection </w:t>
      </w:r>
      <w:r>
        <w:t>re-establishment being triggered (and therefore causing interruption o</w:t>
      </w:r>
      <w:r w:rsidR="00C44FFB">
        <w:t>f</w:t>
      </w:r>
      <w:r>
        <w:t xml:space="preserve"> the user data transfer</w:t>
      </w:r>
      <w:r w:rsidR="00733D5B">
        <w:t xml:space="preserve"> or even a call drop</w:t>
      </w:r>
      <w:r>
        <w:t xml:space="preserve">) when the UE cannot comply with all parts of the </w:t>
      </w:r>
      <w:r w:rsidR="00733D5B">
        <w:t xml:space="preserve">new </w:t>
      </w:r>
      <w:r>
        <w:t>RRC configuration in 5G</w:t>
      </w:r>
      <w:r w:rsidR="00581529">
        <w:t xml:space="preserve"> and wish to improve this in 6G. Furthermore, since the network is not aware of which part of the </w:t>
      </w:r>
      <w:r w:rsidR="00733D5B">
        <w:t>new</w:t>
      </w:r>
      <w:r w:rsidR="00581529">
        <w:t xml:space="preserve"> configuration was problematic, there is no guarantee that the next reconfiguration after the RRC connection re-establishment will be any better, thus the problem may keep reoccuring.</w:t>
      </w:r>
      <w:r w:rsidR="001E674C">
        <w:t xml:space="preserve"> </w:t>
      </w:r>
      <w:r w:rsidR="001E674C">
        <w:fldChar w:fldCharType="begin"/>
      </w:r>
      <w:r w:rsidR="001E674C">
        <w:instrText xml:space="preserve"> REF _Ref212017560 \r \h </w:instrText>
      </w:r>
      <w:r w:rsidR="001E674C">
        <w:fldChar w:fldCharType="separate"/>
      </w:r>
      <w:r w:rsidR="001E674C">
        <w:t>[1]</w:t>
      </w:r>
      <w:r w:rsidR="001E674C">
        <w:fldChar w:fldCharType="end"/>
      </w:r>
      <w:r w:rsidR="001E674C">
        <w:t xml:space="preserve"> </w:t>
      </w:r>
      <w:r w:rsidR="001E674C">
        <w:fldChar w:fldCharType="begin"/>
      </w:r>
      <w:r w:rsidR="001E674C">
        <w:instrText xml:space="preserve"> REF _Ref217380074 \r \h </w:instrText>
      </w:r>
      <w:r w:rsidR="001E674C">
        <w:fldChar w:fldCharType="separate"/>
      </w:r>
      <w:r w:rsidR="001E674C">
        <w:t>[2]</w:t>
      </w:r>
      <w:r w:rsidR="001E674C">
        <w:fldChar w:fldCharType="end"/>
      </w:r>
      <w:r w:rsidR="001E674C">
        <w:t xml:space="preserve"> </w:t>
      </w:r>
      <w:r w:rsidR="001E674C">
        <w:fldChar w:fldCharType="begin"/>
      </w:r>
      <w:r w:rsidR="001E674C">
        <w:instrText xml:space="preserve"> REF _Ref217380113 \r \h </w:instrText>
      </w:r>
      <w:r w:rsidR="001E674C">
        <w:fldChar w:fldCharType="separate"/>
      </w:r>
      <w:r w:rsidR="001E674C">
        <w:t>[3]</w:t>
      </w:r>
      <w:r w:rsidR="001E674C">
        <w:fldChar w:fldCharType="end"/>
      </w:r>
    </w:p>
    <w:p w14:paraId="772E032E" w14:textId="3C9442A1" w:rsidR="00581529" w:rsidRDefault="00581529" w:rsidP="00E014A3">
      <w:pPr>
        <w:jc w:val="left"/>
      </w:pPr>
      <w:r>
        <w:t xml:space="preserve">Related observations </w:t>
      </w:r>
      <w:r w:rsidR="001E674C">
        <w:t>in</w:t>
      </w:r>
      <w:r>
        <w:t xml:space="preserve"> R2-2508758</w:t>
      </w:r>
      <w:r w:rsidR="00761E83">
        <w:t xml:space="preserve"> are the following</w:t>
      </w:r>
      <w:r w:rsidR="002A4AB8">
        <w:t xml:space="preserve"> </w:t>
      </w:r>
      <w:r w:rsidR="002A4AB8">
        <w:fldChar w:fldCharType="begin"/>
      </w:r>
      <w:r w:rsidR="002A4AB8">
        <w:instrText xml:space="preserve"> REF _Ref217380113 \r \h </w:instrText>
      </w:r>
      <w:r w:rsidR="002A4AB8">
        <w:fldChar w:fldCharType="separate"/>
      </w:r>
      <w:r w:rsidR="002A4AB8">
        <w:t>[3]</w:t>
      </w:r>
      <w:r w:rsidR="002A4AB8">
        <w:fldChar w:fldCharType="end"/>
      </w:r>
      <w:r>
        <w:t>:</w:t>
      </w:r>
    </w:p>
    <w:p w14:paraId="652F3332" w14:textId="77777777" w:rsidR="00581529" w:rsidRDefault="00581529" w:rsidP="00FF30AB">
      <w:pPr>
        <w:pStyle w:val="Doc-text2"/>
        <w:tabs>
          <w:tab w:val="clear" w:pos="1622"/>
          <w:tab w:val="left" w:pos="2552"/>
        </w:tabs>
        <w:ind w:left="2387" w:hanging="1559"/>
        <w:jc w:val="left"/>
        <w:rPr>
          <w:rFonts w:eastAsia="Times New Roman" w:cs="Times New Roman"/>
          <w:lang w:eastAsia="ja-JP"/>
        </w:rPr>
      </w:pPr>
      <w:r>
        <w:t>Observation 1.</w:t>
      </w:r>
      <w:r>
        <w:tab/>
        <w:t>In 5G, if a UE cannot apply some (part) of the NW-provided configuration, while a majority of the configuration is good, generally the whole configuration is useless. When problematic configurations are encountered, or when reconfiguration failure occurs, currently the UE initiates connection re-establishment procedure.</w:t>
      </w:r>
    </w:p>
    <w:p w14:paraId="5ECBFC26" w14:textId="77777777" w:rsidR="00581529" w:rsidRDefault="00581529" w:rsidP="00FF30AB">
      <w:pPr>
        <w:pStyle w:val="Doc-text2"/>
        <w:tabs>
          <w:tab w:val="clear" w:pos="1622"/>
          <w:tab w:val="left" w:pos="2410"/>
        </w:tabs>
        <w:ind w:left="2387" w:hanging="1576"/>
        <w:jc w:val="left"/>
      </w:pPr>
      <w:r>
        <w:t>Observation 2.</w:t>
      </w:r>
      <w:r>
        <w:tab/>
        <w:t>We have observed a tangible portion of reconfigurations are such that the UE cannot apply the whole configuration, and such problems are more prevalent when the technology is just being deployed and not mature enough, especially in new markets where configurations take time to stabilize and the UE must implement targeted workarounds to enable such markets.</w:t>
      </w:r>
    </w:p>
    <w:p w14:paraId="529528BA" w14:textId="77777777" w:rsidR="00581529" w:rsidRDefault="00581529" w:rsidP="00FF30AB">
      <w:pPr>
        <w:pStyle w:val="Doc-text2"/>
        <w:tabs>
          <w:tab w:val="clear" w:pos="1622"/>
          <w:tab w:val="left" w:pos="3119"/>
        </w:tabs>
        <w:ind w:left="2387" w:hanging="1576"/>
        <w:jc w:val="left"/>
      </w:pPr>
      <w:r>
        <w:t>Observation 3.</w:t>
      </w:r>
      <w:r>
        <w:tab/>
        <w:t>Neither dynamic capability updates nor UAI can effectively solve such issues, which results in unnecessary reestablishment procedures, service interruptions, and increased RLF statistics.</w:t>
      </w:r>
    </w:p>
    <w:p w14:paraId="7F7D1E7D" w14:textId="7E079A44" w:rsidR="00581529" w:rsidRDefault="00581529" w:rsidP="00FF30AB">
      <w:pPr>
        <w:pStyle w:val="Doc-text2"/>
        <w:tabs>
          <w:tab w:val="clear" w:pos="1622"/>
          <w:tab w:val="left" w:pos="2835"/>
        </w:tabs>
        <w:ind w:left="2387" w:hanging="1576"/>
        <w:jc w:val="left"/>
      </w:pPr>
      <w:r>
        <w:t>Observation 4.</w:t>
      </w:r>
      <w:r>
        <w:tab/>
        <w:t>It is very important to have proper synchronization of the (re)configuration between the UE and the NW.</w:t>
      </w:r>
    </w:p>
    <w:p w14:paraId="5A54B0CD" w14:textId="77777777" w:rsidR="00581529" w:rsidRDefault="00581529" w:rsidP="00581529">
      <w:pPr>
        <w:pStyle w:val="Doc-text2"/>
      </w:pPr>
    </w:p>
    <w:p w14:paraId="55EB1DCF" w14:textId="6B5A584A" w:rsidR="00581529" w:rsidRDefault="00581529" w:rsidP="00E014A3">
      <w:pPr>
        <w:jc w:val="left"/>
        <w:rPr>
          <w:rFonts w:eastAsia="Times New Roman" w:cs="Times New Roman"/>
          <w:lang w:eastAsia="ja-JP"/>
        </w:rPr>
      </w:pPr>
      <w:r>
        <w:t>Related agreements in RAN2#132</w:t>
      </w:r>
      <w:r w:rsidR="00761E83">
        <w:t xml:space="preserve"> are the following</w:t>
      </w:r>
      <w:r w:rsidR="002A4AB8">
        <w:t xml:space="preserve"> </w:t>
      </w:r>
      <w:r w:rsidR="002A4AB8">
        <w:fldChar w:fldCharType="begin"/>
      </w:r>
      <w:r w:rsidR="002A4AB8">
        <w:instrText xml:space="preserve"> REF _Ref217380074 \r \h </w:instrText>
      </w:r>
      <w:r w:rsidR="002A4AB8">
        <w:fldChar w:fldCharType="separate"/>
      </w:r>
      <w:r w:rsidR="002A4AB8">
        <w:t>[2]</w:t>
      </w:r>
      <w:r w:rsidR="002A4AB8">
        <w:fldChar w:fldCharType="end"/>
      </w:r>
      <w:r>
        <w:t>:</w:t>
      </w:r>
    </w:p>
    <w:p w14:paraId="37E365DE" w14:textId="77777777" w:rsidR="00581529" w:rsidRDefault="00581529" w:rsidP="00FF30AB">
      <w:pPr>
        <w:pStyle w:val="Doc-text2"/>
        <w:pBdr>
          <w:top w:val="single" w:sz="4" w:space="1" w:color="auto"/>
          <w:left w:val="single" w:sz="4" w:space="4" w:color="auto"/>
          <w:bottom w:val="single" w:sz="4" w:space="1" w:color="auto"/>
          <w:right w:val="single" w:sz="4" w:space="4" w:color="auto"/>
        </w:pBdr>
        <w:ind w:left="1290"/>
        <w:rPr>
          <w:b/>
          <w:bCs/>
        </w:rPr>
      </w:pPr>
      <w:r>
        <w:rPr>
          <w:b/>
          <w:bCs/>
        </w:rPr>
        <w:t>Agreements</w:t>
      </w:r>
    </w:p>
    <w:p w14:paraId="29C7BD0F" w14:textId="77777777" w:rsidR="00581529" w:rsidRDefault="00581529" w:rsidP="00FF30AB">
      <w:pPr>
        <w:pStyle w:val="Agreement"/>
        <w:numPr>
          <w:ilvl w:val="0"/>
          <w:numId w:val="98"/>
        </w:numPr>
        <w:pBdr>
          <w:top w:val="single" w:sz="4" w:space="1" w:color="auto"/>
          <w:left w:val="single" w:sz="4" w:space="4" w:color="auto"/>
          <w:bottom w:val="single" w:sz="4" w:space="1" w:color="auto"/>
          <w:right w:val="single" w:sz="4" w:space="4" w:color="auto"/>
        </w:pBdr>
        <w:tabs>
          <w:tab w:val="clear" w:pos="1619"/>
          <w:tab w:val="num" w:pos="1287"/>
        </w:tabs>
        <w:autoSpaceDN w:val="0"/>
        <w:ind w:left="1287"/>
        <w:jc w:val="left"/>
        <w:rPr>
          <w:b w:val="0"/>
          <w:bCs/>
        </w:rPr>
      </w:pPr>
      <w:r>
        <w:rPr>
          <w:b w:val="0"/>
          <w:bCs/>
        </w:rPr>
        <w:t>Issue identified: UE can only apply a part of RRC reconfiguration.  NOTE this is not related to IODT issue.</w:t>
      </w:r>
    </w:p>
    <w:p w14:paraId="6EAC9FE5" w14:textId="77777777" w:rsidR="00581529" w:rsidRDefault="00581529" w:rsidP="00FF30AB">
      <w:pPr>
        <w:pStyle w:val="Agreement"/>
        <w:numPr>
          <w:ilvl w:val="0"/>
          <w:numId w:val="98"/>
        </w:numPr>
        <w:pBdr>
          <w:top w:val="single" w:sz="4" w:space="1" w:color="auto"/>
          <w:left w:val="single" w:sz="4" w:space="4" w:color="auto"/>
          <w:bottom w:val="single" w:sz="4" w:space="1" w:color="auto"/>
          <w:right w:val="single" w:sz="4" w:space="4" w:color="auto"/>
        </w:pBdr>
        <w:tabs>
          <w:tab w:val="clear" w:pos="1619"/>
          <w:tab w:val="num" w:pos="1412"/>
        </w:tabs>
        <w:autoSpaceDN w:val="0"/>
        <w:ind w:left="1287"/>
        <w:jc w:val="left"/>
        <w:rPr>
          <w:b w:val="0"/>
          <w:bCs/>
        </w:rPr>
      </w:pPr>
      <w:r>
        <w:rPr>
          <w:b w:val="0"/>
          <w:bCs/>
        </w:rPr>
        <w:t>Study how to solve the issue</w:t>
      </w:r>
    </w:p>
    <w:p w14:paraId="6F7EFDEA" w14:textId="77777777" w:rsidR="00581529" w:rsidRDefault="00581529" w:rsidP="00581529">
      <w:pPr>
        <w:pStyle w:val="Review-comment"/>
        <w:ind w:left="0" w:firstLine="0"/>
      </w:pPr>
    </w:p>
    <w:p w14:paraId="032A4486" w14:textId="55C036DD" w:rsidR="000464EE" w:rsidRPr="002A4AB8" w:rsidRDefault="00323A2C" w:rsidP="00E014A3">
      <w:pPr>
        <w:jc w:val="left"/>
      </w:pPr>
      <w:r>
        <w:t xml:space="preserve">In this contribution, we propose </w:t>
      </w:r>
      <w:r w:rsidR="00B26853">
        <w:t xml:space="preserve">two alternative </w:t>
      </w:r>
      <w:r>
        <w:t>solution</w:t>
      </w:r>
      <w:r w:rsidR="00B26853">
        <w:t>s</w:t>
      </w:r>
      <w:r>
        <w:t xml:space="preserve"> which we think </w:t>
      </w:r>
      <w:r w:rsidRPr="002A4AB8">
        <w:t xml:space="preserve">resolve the </w:t>
      </w:r>
      <w:r w:rsidR="00581529" w:rsidRPr="002A4AB8">
        <w:t xml:space="preserve">identified </w:t>
      </w:r>
      <w:r w:rsidR="00733D5B">
        <w:t xml:space="preserve">issue </w:t>
      </w:r>
      <w:r w:rsidR="002A4AB8" w:rsidRPr="002A4AB8">
        <w:t>and</w:t>
      </w:r>
      <w:r w:rsidRPr="002A4AB8">
        <w:t xml:space="preserve"> at the same time </w:t>
      </w:r>
      <w:r w:rsidR="00B26853">
        <w:t>are</w:t>
      </w:r>
      <w:r w:rsidRPr="002A4AB8">
        <w:t xml:space="preserve"> implementable in practice.</w:t>
      </w:r>
    </w:p>
    <w:p w14:paraId="2C96BF15" w14:textId="7246A635" w:rsidR="00645D63" w:rsidRDefault="00230D18" w:rsidP="001177BE">
      <w:pPr>
        <w:pStyle w:val="Heading1"/>
        <w:jc w:val="both"/>
      </w:pPr>
      <w:bookmarkStart w:id="0" w:name="_Ref178064866"/>
      <w:r w:rsidRPr="00CF0FF8">
        <w:t>2</w:t>
      </w:r>
      <w:r w:rsidRPr="00CF0FF8">
        <w:tab/>
      </w:r>
      <w:r w:rsidR="004000E8" w:rsidRPr="00CF0FF8">
        <w:t>Discussion</w:t>
      </w:r>
      <w:bookmarkEnd w:id="0"/>
    </w:p>
    <w:p w14:paraId="1F1FE508" w14:textId="7B821C67" w:rsidR="00581529" w:rsidRDefault="00581529" w:rsidP="00581529">
      <w:pPr>
        <w:pStyle w:val="Heading2"/>
      </w:pPr>
      <w:r>
        <w:t>2.1</w:t>
      </w:r>
      <w:r>
        <w:tab/>
        <w:t xml:space="preserve">Problem </w:t>
      </w:r>
      <w:r w:rsidR="006B4056">
        <w:t>with</w:t>
      </w:r>
      <w:r>
        <w:t xml:space="preserve"> </w:t>
      </w:r>
      <w:r w:rsidR="006805FA">
        <w:t>P</w:t>
      </w:r>
      <w:r>
        <w:t xml:space="preserve">artial </w:t>
      </w:r>
      <w:r w:rsidR="006805FA">
        <w:t>S</w:t>
      </w:r>
      <w:r>
        <w:t>uccess/</w:t>
      </w:r>
      <w:r w:rsidR="006805FA">
        <w:t>F</w:t>
      </w:r>
      <w:r>
        <w:t>ailure</w:t>
      </w:r>
    </w:p>
    <w:p w14:paraId="4D1DCD03" w14:textId="542617C4" w:rsidR="00733D5B" w:rsidRDefault="00733D5B" w:rsidP="003B6326">
      <w:pPr>
        <w:jc w:val="left"/>
      </w:pPr>
      <w:r>
        <w:t xml:space="preserve">It is relatively easy to find example scenarios, based on 5G RRC signalling, where the UE and the network could continue the RRC connection successfully, if the UE applies only the 'good part' and ignores the 'bad part' of the new RRC configuration. As an example, if the UE applies new measurement configuration or new radio bearer configuration without applying new physical layer configuration (which the UE cannot comply with, or which contains an error), it is </w:t>
      </w:r>
      <w:r w:rsidR="00E4300B">
        <w:t xml:space="preserve">still </w:t>
      </w:r>
      <w:r>
        <w:t xml:space="preserve">very likely that the RRC connection would continue successfully without observable </w:t>
      </w:r>
      <w:r w:rsidR="00C44FFB">
        <w:t>interruption</w:t>
      </w:r>
      <w:r>
        <w:t xml:space="preserve"> </w:t>
      </w:r>
      <w:r w:rsidR="00C44FFB">
        <w:t>of</w:t>
      </w:r>
      <w:r>
        <w:t xml:space="preserve"> the user data transfer or a call drop. However, it is equally easy to find example scenarios where the </w:t>
      </w:r>
      <w:r>
        <w:lastRenderedPageBreak/>
        <w:t xml:space="preserve">opposite is true – the RRC connection cannot be continued successfully, if the UE applies only the 'good part' and ignores the 'bad part' of the new RRC configuration. As an example, if the UE applies new radio bearer configuration (which setups a new DRB) without applying corresponding RLC bearer configuration (which the UE cannot comply with, or which contains an error), the data transfer on the new radio bearer would be stuck. As another example, if the UE applies only part of the new physical layer configuration but does not apply another part of it (which the UE cannot comply with, or which contains an error), all subsequent data transmission, including transmission of RRC reconfiguration complete message, may fail for numerous physical layer related reasons. </w:t>
      </w:r>
    </w:p>
    <w:p w14:paraId="788664D0" w14:textId="594F0C6C" w:rsidR="00581529" w:rsidRDefault="00581529" w:rsidP="003B6326">
      <w:pPr>
        <w:pStyle w:val="Observation"/>
        <w:jc w:val="left"/>
      </w:pPr>
      <w:r>
        <w:t xml:space="preserve">Observation </w:t>
      </w:r>
      <w:r w:rsidR="00733D5B">
        <w:t>1</w:t>
      </w:r>
      <w:r>
        <w:tab/>
        <w:t xml:space="preserve">It is very difficult to specify a generic, simple, and robust rule when the 'good part' of the </w:t>
      </w:r>
      <w:r w:rsidR="00430A9D">
        <w:t xml:space="preserve">new </w:t>
      </w:r>
      <w:r>
        <w:t xml:space="preserve">RRC configuration could be applied without applying the </w:t>
      </w:r>
      <w:r w:rsidR="00430A9D">
        <w:t>new</w:t>
      </w:r>
      <w:r>
        <w:t xml:space="preserve"> RRC configuration</w:t>
      </w:r>
      <w:r w:rsidR="00430A9D">
        <w:t xml:space="preserve"> fully</w:t>
      </w:r>
      <w:r>
        <w:t>.</w:t>
      </w:r>
      <w:r w:rsidR="00430A9D">
        <w:t xml:space="preserve"> </w:t>
      </w:r>
      <w:r w:rsidR="00E4300B">
        <w:t>For this reason, a</w:t>
      </w:r>
      <w:r w:rsidR="00430A9D">
        <w:t xml:space="preserve"> solution based on partial application of the new RRC configuration has a high risk of becoming unimplementable paper feature.</w:t>
      </w:r>
    </w:p>
    <w:p w14:paraId="12C4D602" w14:textId="3E1808E6" w:rsidR="00FC1D21" w:rsidRDefault="00FC1D21" w:rsidP="003B6326">
      <w:pPr>
        <w:jc w:val="left"/>
      </w:pPr>
      <w:r>
        <w:t>It should be noted that during the discussion of modular RRC, some companies have mentioned that the partial success/failure could be applied in a granular way, so that the reconfiguration would follow the 5G principle (either fully success or fail) within an RRC module, but reconfiguration of different modules could independently success or fail, even if</w:t>
      </w:r>
      <w:r w:rsidR="003B6326">
        <w:t xml:space="preserve"> the modules are</w:t>
      </w:r>
      <w:r>
        <w:t xml:space="preserve"> reconfigured with single RRC message. While this kind of module-based partial application of RRC configuration sounds tempting and somehow logical</w:t>
      </w:r>
      <w:r w:rsidR="003B6326">
        <w:t xml:space="preserve"> at first</w:t>
      </w:r>
      <w:r>
        <w:t xml:space="preserve">, we think it would </w:t>
      </w:r>
      <w:r w:rsidR="003B6326">
        <w:t xml:space="preserve">not </w:t>
      </w:r>
      <w:r>
        <w:t xml:space="preserve">work in practice, as the configurations of different RRC modules will surely have </w:t>
      </w:r>
      <w:r w:rsidR="00A53E37">
        <w:t xml:space="preserve">at least some </w:t>
      </w:r>
      <w:r>
        <w:t>dependencies with each other</w:t>
      </w:r>
      <w:r w:rsidR="00A53E37">
        <w:t xml:space="preserve"> at the end</w:t>
      </w:r>
      <w:r>
        <w:t>. Thus we think the Observation 1 applies also to module-based RRC. Based on all above, we propose the following.</w:t>
      </w:r>
    </w:p>
    <w:p w14:paraId="5C3A8434" w14:textId="55E139BD" w:rsidR="002A4AB8" w:rsidRDefault="002A4AB8" w:rsidP="003B6326">
      <w:pPr>
        <w:pStyle w:val="Observation"/>
        <w:ind w:left="1559" w:hanging="1559"/>
        <w:jc w:val="left"/>
      </w:pPr>
      <w:r>
        <w:t>Proposal</w:t>
      </w:r>
      <w:r w:rsidR="00733D5B">
        <w:t xml:space="preserve"> 1</w:t>
      </w:r>
      <w:r>
        <w:t xml:space="preserve"> </w:t>
      </w:r>
      <w:r w:rsidR="00430A9D">
        <w:tab/>
      </w:r>
      <w:r>
        <w:t>Do not define partial application of the RRC configuration</w:t>
      </w:r>
      <w:r w:rsidR="00430A9D">
        <w:t xml:space="preserve"> in 6G RRC</w:t>
      </w:r>
      <w:r>
        <w:t>.</w:t>
      </w:r>
    </w:p>
    <w:p w14:paraId="52EA217D" w14:textId="5FD5631A" w:rsidR="00D02795" w:rsidRDefault="00D02795" w:rsidP="00D02795">
      <w:pPr>
        <w:pStyle w:val="Heading2"/>
      </w:pPr>
      <w:r>
        <w:t>2.</w:t>
      </w:r>
      <w:r w:rsidR="00581529">
        <w:t>2</w:t>
      </w:r>
      <w:r>
        <w:tab/>
      </w:r>
      <w:r w:rsidR="002A454F">
        <w:t xml:space="preserve">Solution </w:t>
      </w:r>
      <w:r w:rsidR="006805FA">
        <w:t>D</w:t>
      </w:r>
      <w:r w:rsidR="002A454F">
        <w:t>irection</w:t>
      </w:r>
      <w:r w:rsidR="005B202B">
        <w:t>s</w:t>
      </w:r>
    </w:p>
    <w:p w14:paraId="04407619" w14:textId="0EAD8FBA" w:rsidR="002A454F" w:rsidRDefault="002A454F" w:rsidP="002A454F">
      <w:pPr>
        <w:jc w:val="left"/>
      </w:pPr>
      <w:r>
        <w:t xml:space="preserve">The drawback of </w:t>
      </w:r>
      <w:r w:rsidR="003B009F">
        <w:t xml:space="preserve">5G </w:t>
      </w:r>
      <w:r>
        <w:t>RRC connection re-establishment triggered for RRC reconfiguration failure is well known – the user data transfer is suspended for duration of the procedure (which itself requires signalling of several RRC messages) and to resume the user data transfer, a subsequent RRC reconfiguration procedure is required. For some application</w:t>
      </w:r>
      <w:r w:rsidR="00557937">
        <w:t>s</w:t>
      </w:r>
      <w:r>
        <w:t xml:space="preserve">, this </w:t>
      </w:r>
      <w:r w:rsidR="00C44FFB">
        <w:t>interruption of</w:t>
      </w:r>
      <w:r>
        <w:t xml:space="preserve"> the user data transfer may be too much and the user experience </w:t>
      </w:r>
      <w:r w:rsidR="00557937">
        <w:t xml:space="preserve">may </w:t>
      </w:r>
      <w:r>
        <w:t>suffer.</w:t>
      </w:r>
    </w:p>
    <w:p w14:paraId="2C42F9B8" w14:textId="5593D047" w:rsidR="009003A8" w:rsidRDefault="002A454F" w:rsidP="002A454F">
      <w:pPr>
        <w:jc w:val="left"/>
      </w:pPr>
      <w:r>
        <w:t>However, despite the drawback described above, the</w:t>
      </w:r>
      <w:r w:rsidR="003B009F">
        <w:t xml:space="preserve"> 5G</w:t>
      </w:r>
      <w:r>
        <w:t xml:space="preserve"> RRC connection re-establishment has one clear benefit. The benefit is that it provides simple and robust way for recovering from any kind of RRC reconfiguration failure. This robustness is based on a </w:t>
      </w:r>
      <w:r w:rsidR="003B009F">
        <w:t xml:space="preserve">design </w:t>
      </w:r>
      <w:r>
        <w:t xml:space="preserve">principle that the configuration which the UE applies upon triggering the re-establishment is unambiguously known by both the UE and the network, which therefore provides a solid, common baseline on which the RRC signalling for the recovery can take place. </w:t>
      </w:r>
    </w:p>
    <w:p w14:paraId="34A0FFD3" w14:textId="52A98C6D" w:rsidR="00581529" w:rsidRDefault="00581529" w:rsidP="00E014A3">
      <w:pPr>
        <w:pStyle w:val="Observation"/>
        <w:jc w:val="left"/>
      </w:pPr>
      <w:r>
        <w:t xml:space="preserve">Observation </w:t>
      </w:r>
      <w:r w:rsidR="00787678">
        <w:t>2</w:t>
      </w:r>
      <w:r>
        <w:tab/>
      </w:r>
      <w:r w:rsidR="002A454F">
        <w:t>Upon</w:t>
      </w:r>
      <w:r w:rsidR="003B009F">
        <w:t xml:space="preserve"> </w:t>
      </w:r>
      <w:r>
        <w:t>RRC connection re-establishment</w:t>
      </w:r>
      <w:r w:rsidR="003B009F">
        <w:t xml:space="preserve"> in 5G</w:t>
      </w:r>
      <w:r w:rsidR="002A454F">
        <w:t>, the U</w:t>
      </w:r>
      <w:r>
        <w:t xml:space="preserve">E </w:t>
      </w:r>
      <w:r w:rsidR="002A454F">
        <w:t>applies</w:t>
      </w:r>
      <w:r>
        <w:t xml:space="preserve"> a configuration which is unambiguously known by both the </w:t>
      </w:r>
      <w:r w:rsidR="007C776A">
        <w:t xml:space="preserve">UE and the </w:t>
      </w:r>
      <w:r>
        <w:t>network.</w:t>
      </w:r>
      <w:r w:rsidR="002A454F">
        <w:t xml:space="preserve"> This provides a solid, common baseline for robust recovery.</w:t>
      </w:r>
    </w:p>
    <w:p w14:paraId="7BE1FDF2" w14:textId="3D697F26" w:rsidR="002A454F" w:rsidRDefault="002A454F" w:rsidP="002A454F">
      <w:pPr>
        <w:jc w:val="left"/>
      </w:pPr>
      <w:r>
        <w:t xml:space="preserve">We think this </w:t>
      </w:r>
      <w:r w:rsidR="003B009F">
        <w:t>design principle</w:t>
      </w:r>
      <w:r>
        <w:t xml:space="preserve"> of </w:t>
      </w:r>
      <w:r w:rsidR="003B009F">
        <w:t xml:space="preserve">5G </w:t>
      </w:r>
      <w:r>
        <w:t xml:space="preserve">RRC connection re-establishment </w:t>
      </w:r>
      <w:r w:rsidR="005B202B">
        <w:t xml:space="preserve">could </w:t>
      </w:r>
      <w:r w:rsidR="003B009F">
        <w:t xml:space="preserve">also </w:t>
      </w:r>
      <w:r>
        <w:t xml:space="preserve">be the design principle of RRC reconfiguration failure handling in 6G, </w:t>
      </w:r>
      <w:r w:rsidR="003B009F">
        <w:t xml:space="preserve">in order </w:t>
      </w:r>
      <w:r>
        <w:t xml:space="preserve">to make the recovery procedure robust and simple enough for practical implementation. </w:t>
      </w:r>
      <w:r w:rsidR="005B202B">
        <w:t>Furthermore, it can be observed that also the current UE configuration (i.e., the configuration used before reception of the failed</w:t>
      </w:r>
      <w:r w:rsidR="00FA2C39">
        <w:t xml:space="preserve"> RRC reconfiguration</w:t>
      </w:r>
      <w:r w:rsidR="005B202B">
        <w:t xml:space="preserve">) is obviously unambiguously known by </w:t>
      </w:r>
      <w:r w:rsidR="00FA2C39">
        <w:t xml:space="preserve">both </w:t>
      </w:r>
      <w:r w:rsidR="005B202B">
        <w:t>the UE and the network. Based on above</w:t>
      </w:r>
      <w:r>
        <w:t xml:space="preserve">, we propose </w:t>
      </w:r>
      <w:r w:rsidR="005B202B">
        <w:t>two alternative solution directions</w:t>
      </w:r>
      <w:r>
        <w:t>:</w:t>
      </w:r>
    </w:p>
    <w:p w14:paraId="303C4DAC" w14:textId="06C662EB" w:rsidR="005B202B" w:rsidRDefault="005B202B" w:rsidP="005B202B">
      <w:pPr>
        <w:pStyle w:val="Observation"/>
        <w:ind w:left="1559" w:hanging="1559"/>
        <w:jc w:val="left"/>
      </w:pPr>
      <w:r>
        <w:t>Proposal 2a</w:t>
      </w:r>
      <w:r>
        <w:tab/>
        <w:t>Option 1: RAN2 to study using the current UE configuration, without triggering RRC connection re-establishment, for recovery from RRC reconfiguration failure.</w:t>
      </w:r>
    </w:p>
    <w:p w14:paraId="3DBC2FFD" w14:textId="46B21EEE" w:rsidR="004625AE" w:rsidRDefault="004625AE" w:rsidP="004625AE">
      <w:pPr>
        <w:pStyle w:val="Observation"/>
        <w:ind w:left="1559" w:hanging="1559"/>
        <w:jc w:val="left"/>
      </w:pPr>
      <w:r>
        <w:t>Proposal 2</w:t>
      </w:r>
      <w:r w:rsidR="005B202B">
        <w:t>b</w:t>
      </w:r>
      <w:r>
        <w:tab/>
      </w:r>
      <w:r w:rsidR="005B202B">
        <w:t xml:space="preserve">Option 2: </w:t>
      </w:r>
      <w:r w:rsidR="0030056E">
        <w:t>RAN2 to s</w:t>
      </w:r>
      <w:r>
        <w:t xml:space="preserve">tudy using a </w:t>
      </w:r>
      <w:r w:rsidR="005B202B">
        <w:t xml:space="preserve">separate </w:t>
      </w:r>
      <w:r>
        <w:t xml:space="preserve">configuration </w:t>
      </w:r>
      <w:r>
        <w:rPr>
          <w:bCs w:val="0"/>
        </w:rPr>
        <w:t>("recovery configuration")</w:t>
      </w:r>
      <w:r>
        <w:t>, known unambiguously by both the UE and the network, which the UE applies, without triggering RRC connection re-establishment, for recovery from RRC reconfiguration failure.</w:t>
      </w:r>
    </w:p>
    <w:p w14:paraId="5348DF7E" w14:textId="1B9CE0F7" w:rsidR="005B202B" w:rsidRDefault="005B202B" w:rsidP="005B202B">
      <w:pPr>
        <w:pStyle w:val="Heading2"/>
      </w:pPr>
      <w:r>
        <w:t>2.3</w:t>
      </w:r>
      <w:r>
        <w:tab/>
        <w:t>Solution Details for Option 1</w:t>
      </w:r>
    </w:p>
    <w:p w14:paraId="1F88FF48" w14:textId="6FF21B63" w:rsidR="005B202B" w:rsidRDefault="005B202B" w:rsidP="005B202B">
      <w:pPr>
        <w:jc w:val="left"/>
      </w:pPr>
      <w:r>
        <w:t xml:space="preserve">The solution based on using the current UE configuration for recovery from RRC reconfiguration failure is quite simple. Since RRC reconfiguration failure is not related to signal level/quality of the current serving cell or other radio condition aspects, the current UE configuration should still be functional. The only remaining aspect is to let the network know that the UE continued using the current UE configuration and did not apply the RRC reconfiguration, so </w:t>
      </w:r>
      <w:r w:rsidR="005F499C">
        <w:t xml:space="preserve">a </w:t>
      </w:r>
      <w:r>
        <w:t>"reconfiguration failure signalling</w:t>
      </w:r>
      <w:r w:rsidR="004B6CB8">
        <w:t>"</w:t>
      </w:r>
      <w:r>
        <w:t xml:space="preserve"> is required from the UE to the network. Since several companies have mentioned that the network should be made aware of the part(s) of the RRC reconfiguration which caused the RRC reconfiguration failure to occur, this information could be carried in </w:t>
      </w:r>
      <w:r w:rsidR="0026074E">
        <w:t>the reconfiguration failure signalling</w:t>
      </w:r>
      <w:r>
        <w:t xml:space="preserve">. </w:t>
      </w:r>
    </w:p>
    <w:p w14:paraId="47927D6E" w14:textId="62960AEF" w:rsidR="006C6FDE" w:rsidRDefault="006C6FDE" w:rsidP="006C6FDE">
      <w:pPr>
        <w:pStyle w:val="Observation"/>
        <w:jc w:val="left"/>
      </w:pPr>
      <w:r>
        <w:lastRenderedPageBreak/>
        <w:t>Proposal 3</w:t>
      </w:r>
      <w:r>
        <w:tab/>
      </w:r>
      <w:r w:rsidR="004B6CB8">
        <w:t>For o</w:t>
      </w:r>
      <w:r>
        <w:t>ption 1: After continuing to use the current UE configuration, the UE should signal the network about RRC reconfiguration failure. This signalling could also let the network know which part</w:t>
      </w:r>
      <w:r w:rsidR="005F499C">
        <w:t>(s)</w:t>
      </w:r>
      <w:r>
        <w:t xml:space="preserve"> of RRC reconfiguration caused the RRC reconfiguration failure.</w:t>
      </w:r>
    </w:p>
    <w:p w14:paraId="5E2A0795" w14:textId="758CE1DB" w:rsidR="006C6FDE" w:rsidRDefault="006C6FDE" w:rsidP="005B202B">
      <w:pPr>
        <w:jc w:val="left"/>
      </w:pPr>
      <w:r>
        <w:fldChar w:fldCharType="begin"/>
      </w:r>
      <w:r>
        <w:instrText xml:space="preserve"> REF _Ref219878328 </w:instrText>
      </w:r>
      <w:r>
        <w:fldChar w:fldCharType="separate"/>
      </w:r>
      <w:r>
        <w:t xml:space="preserve">Figure </w:t>
      </w:r>
      <w:r>
        <w:rPr>
          <w:noProof/>
        </w:rPr>
        <w:t>1</w:t>
      </w:r>
      <w:r>
        <w:fldChar w:fldCharType="end"/>
      </w:r>
      <w:r>
        <w:t xml:space="preserve"> shows outline of the procedure.</w:t>
      </w:r>
    </w:p>
    <w:p w14:paraId="4077E3B7" w14:textId="5B9A2E48" w:rsidR="005B202B" w:rsidRDefault="005B202B" w:rsidP="00C354E8">
      <w:pPr>
        <w:keepNext/>
        <w:jc w:val="center"/>
      </w:pPr>
      <w:r w:rsidRPr="005B202B">
        <w:rPr>
          <w:noProof/>
        </w:rPr>
        <w:drawing>
          <wp:inline distT="0" distB="0" distL="0" distR="0" wp14:anchorId="44EE739F" wp14:editId="3D7FC2AC">
            <wp:extent cx="5176800" cy="3225600"/>
            <wp:effectExtent l="0" t="0" r="5080" b="0"/>
            <wp:docPr id="7" name="Picture 6">
              <a:extLst xmlns:a="http://schemas.openxmlformats.org/drawingml/2006/main">
                <a:ext uri="{FF2B5EF4-FFF2-40B4-BE49-F238E27FC236}">
                  <a16:creationId xmlns:a16="http://schemas.microsoft.com/office/drawing/2014/main" id="{018B4F55-C77D-B625-6A10-5334F92C94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18B4F55-C77D-B625-6A10-5334F92C9425}"/>
                        </a:ext>
                      </a:extLst>
                    </pic:cNvPr>
                    <pic:cNvPicPr>
                      <a:picLocks noChangeAspect="1"/>
                    </pic:cNvPicPr>
                  </pic:nvPicPr>
                  <pic:blipFill>
                    <a:blip r:embed="rId11"/>
                    <a:stretch>
                      <a:fillRect/>
                    </a:stretch>
                  </pic:blipFill>
                  <pic:spPr>
                    <a:xfrm>
                      <a:off x="0" y="0"/>
                      <a:ext cx="5176800" cy="3225600"/>
                    </a:xfrm>
                    <a:prstGeom prst="rect">
                      <a:avLst/>
                    </a:prstGeom>
                  </pic:spPr>
                </pic:pic>
              </a:graphicData>
            </a:graphic>
          </wp:inline>
        </w:drawing>
      </w:r>
    </w:p>
    <w:p w14:paraId="75070A10" w14:textId="275A966B" w:rsidR="005B202B" w:rsidRDefault="005B202B" w:rsidP="00C354E8">
      <w:pPr>
        <w:pStyle w:val="Caption"/>
        <w:jc w:val="center"/>
      </w:pPr>
      <w:bookmarkStart w:id="1" w:name="_Ref219878328"/>
      <w:r>
        <w:t xml:space="preserve">Figure </w:t>
      </w:r>
      <w:r>
        <w:fldChar w:fldCharType="begin"/>
      </w:r>
      <w:r>
        <w:instrText xml:space="preserve"> SEQ Figure \* ARABIC </w:instrText>
      </w:r>
      <w:r>
        <w:fldChar w:fldCharType="separate"/>
      </w:r>
      <w:r>
        <w:rPr>
          <w:noProof/>
        </w:rPr>
        <w:t>1</w:t>
      </w:r>
      <w:r>
        <w:fldChar w:fldCharType="end"/>
      </w:r>
      <w:bookmarkEnd w:id="1"/>
      <w:r>
        <w:t>. Outline of the recovery from RRC reconfiguration failure (option 1).</w:t>
      </w:r>
    </w:p>
    <w:p w14:paraId="77D30850" w14:textId="2730CA5F" w:rsidR="00581529" w:rsidRDefault="00581529" w:rsidP="00581529">
      <w:pPr>
        <w:pStyle w:val="Heading2"/>
      </w:pPr>
      <w:r>
        <w:t>2.</w:t>
      </w:r>
      <w:r w:rsidR="005B202B">
        <w:t>4</w:t>
      </w:r>
      <w:r>
        <w:tab/>
      </w:r>
      <w:r w:rsidR="002A454F">
        <w:t xml:space="preserve">Solution </w:t>
      </w:r>
      <w:r w:rsidR="006805FA">
        <w:t>D</w:t>
      </w:r>
      <w:r w:rsidR="002A454F">
        <w:t>etails</w:t>
      </w:r>
      <w:r w:rsidR="005B202B">
        <w:t xml:space="preserve"> for Option 2</w:t>
      </w:r>
    </w:p>
    <w:p w14:paraId="341DF86D" w14:textId="4753DE4B" w:rsidR="00CB5C5F" w:rsidRDefault="00CB5C5F" w:rsidP="00CB5C5F">
      <w:pPr>
        <w:jc w:val="left"/>
      </w:pPr>
      <w:r w:rsidRPr="00CB5C5F">
        <w:t>Conside</w:t>
      </w:r>
      <w:r>
        <w:t xml:space="preserve">ring further the characteristics of the </w:t>
      </w:r>
      <w:r w:rsidR="005B202B">
        <w:t xml:space="preserve">separate </w:t>
      </w:r>
      <w:r>
        <w:t>configuration</w:t>
      </w:r>
      <w:r w:rsidR="004625AE">
        <w:t xml:space="preserve"> (referred as "recovery configuration")</w:t>
      </w:r>
      <w:r>
        <w:t>, known unambiguo</w:t>
      </w:r>
      <w:r w:rsidR="00F556B1">
        <w:t>u</w:t>
      </w:r>
      <w:r>
        <w:t>sly by both the UE and the network</w:t>
      </w:r>
      <w:r w:rsidR="000A0DF4">
        <w:t xml:space="preserve"> and</w:t>
      </w:r>
      <w:r>
        <w:t xml:space="preserve"> which the UE appl</w:t>
      </w:r>
      <w:r w:rsidR="000A0DF4">
        <w:t>ies</w:t>
      </w:r>
      <w:r>
        <w:t xml:space="preserve"> upon detecting RRC reconfiguration failure, we can examine the following aspects:</w:t>
      </w:r>
    </w:p>
    <w:p w14:paraId="3552C60E" w14:textId="2130E740" w:rsidR="00CB5C5F" w:rsidRDefault="00CB5C5F" w:rsidP="00CB5C5F">
      <w:pPr>
        <w:pStyle w:val="ListParagraph"/>
        <w:numPr>
          <w:ilvl w:val="0"/>
          <w:numId w:val="100"/>
        </w:numPr>
        <w:jc w:val="left"/>
        <w:textAlignment w:val="auto"/>
      </w:pPr>
      <w:r>
        <w:t>What kind of functionality the recovery configuration can enable?</w:t>
      </w:r>
    </w:p>
    <w:p w14:paraId="7580626B" w14:textId="585BC03E" w:rsidR="00CB5C5F" w:rsidRDefault="00CB5C5F" w:rsidP="00CB5C5F">
      <w:pPr>
        <w:pStyle w:val="ListParagraph"/>
        <w:numPr>
          <w:ilvl w:val="0"/>
          <w:numId w:val="100"/>
        </w:numPr>
        <w:jc w:val="left"/>
        <w:textAlignment w:val="auto"/>
      </w:pPr>
      <w:r>
        <w:t>What kind of flexibility the recovery configuration should have (e.g., can applying it cause a cell change or not)?</w:t>
      </w:r>
    </w:p>
    <w:p w14:paraId="2AA979E5" w14:textId="09FBA541" w:rsidR="00CB5C5F" w:rsidRDefault="00CB5C5F" w:rsidP="00CB5C5F">
      <w:pPr>
        <w:pStyle w:val="ListParagraph"/>
        <w:numPr>
          <w:ilvl w:val="0"/>
          <w:numId w:val="100"/>
        </w:numPr>
        <w:spacing w:after="120"/>
        <w:ind w:left="765" w:hanging="357"/>
        <w:jc w:val="left"/>
      </w:pPr>
      <w:r>
        <w:t>How is the recovery configuration configured to the UE? Is it static (defined in the specs), or is configured during or before the RRC connection by the network?</w:t>
      </w:r>
      <w:r w:rsidR="00F00ED4">
        <w:t xml:space="preserve"> Can the same recovery configuration be configured all UEs, or should it be UE specific?</w:t>
      </w:r>
    </w:p>
    <w:p w14:paraId="2A1CE5EE" w14:textId="5313EDE9" w:rsidR="00CB5C5F" w:rsidRDefault="00CB5C5F" w:rsidP="00CB5C5F">
      <w:pPr>
        <w:jc w:val="left"/>
      </w:pPr>
      <w:r>
        <w:t>Since the principal improvement of the recovery procedure over 5G RRC connection re-establishment is to avoid interruption of the user data transfer, we think the recovery configuration should enable user data transfer at least with basic level of performance. Furthermore, there is no need for the recovery configuration to be overly complex, as the recovery procedure is anyway handling of an abnormal scenario by nature, so robustness and simplicity are more important than flexibility or performance. Especially, since RRC reconfiguration failure is not related to signal level/quality of the current serving cell or other radio condition aspects, there is no need for the recovery configuration to trigger a cell switch. Given all this, the recovery configuration should be simple, basic configuration configuring the UE to operate in the current PCell, without advanced features (such as CA, etc.) being configured.</w:t>
      </w:r>
    </w:p>
    <w:p w14:paraId="7335D09D" w14:textId="15D07189" w:rsidR="004625AE" w:rsidRDefault="004625AE" w:rsidP="004625AE">
      <w:pPr>
        <w:pStyle w:val="Observation"/>
        <w:jc w:val="left"/>
      </w:pPr>
      <w:r>
        <w:t xml:space="preserve">Proposal </w:t>
      </w:r>
      <w:r w:rsidR="004B6CB8">
        <w:t>4</w:t>
      </w:r>
      <w:r>
        <w:tab/>
      </w:r>
      <w:r w:rsidR="004B6CB8">
        <w:t>For o</w:t>
      </w:r>
      <w:r w:rsidR="005B202B">
        <w:t xml:space="preserve">ption 2: </w:t>
      </w:r>
      <w:r>
        <w:t>The recovery configuration should enable user data transfer to continue. The recovery configuration should be simple configuration configuring the UE to operate in the current PCell without advanced features.</w:t>
      </w:r>
    </w:p>
    <w:p w14:paraId="160822B1" w14:textId="39DDF899" w:rsidR="00F00ED4" w:rsidRDefault="000A0DF4" w:rsidP="00CB5C5F">
      <w:pPr>
        <w:jc w:val="left"/>
      </w:pPr>
      <w:r>
        <w:t xml:space="preserve">After applying the </w:t>
      </w:r>
      <w:r w:rsidR="00A35BE1">
        <w:t>recovery configuration</w:t>
      </w:r>
      <w:r w:rsidR="00F00ED4">
        <w:t xml:space="preserve">, the UE </w:t>
      </w:r>
      <w:r w:rsidR="00A35BE1">
        <w:t xml:space="preserve">obviously </w:t>
      </w:r>
      <w:r w:rsidR="00F00ED4">
        <w:t xml:space="preserve">needs to let the network know the UE has switched </w:t>
      </w:r>
      <w:r w:rsidR="00A35BE1">
        <w:t>to</w:t>
      </w:r>
      <w:r w:rsidR="00F00ED4">
        <w:t xml:space="preserve"> the recovery configuration. To achieve this, one possibility is to define specific set of UL resources (such as CFRA resources or contention-based PUSCH resources, for example) within the recovery configuration, using which the UE could signal the network about having switched to the recovery configuration. To enable flexible reservation and management of such resources in the network, we think the recovery configuration should not be a static configuration, but instead it should be reconfigurable by the network like any other part of the UE configuration.</w:t>
      </w:r>
    </w:p>
    <w:p w14:paraId="46B5FC92" w14:textId="78A05222" w:rsidR="00F00ED4" w:rsidRDefault="004625AE" w:rsidP="00F00ED4">
      <w:pPr>
        <w:pStyle w:val="Observation"/>
        <w:jc w:val="left"/>
      </w:pPr>
      <w:r>
        <w:t xml:space="preserve">Proposal </w:t>
      </w:r>
      <w:r w:rsidR="004B6CB8">
        <w:t>5</w:t>
      </w:r>
      <w:r w:rsidR="00F00ED4">
        <w:tab/>
      </w:r>
      <w:r w:rsidR="004B6CB8">
        <w:t>For o</w:t>
      </w:r>
      <w:r w:rsidR="005B202B">
        <w:t xml:space="preserve">ption 2: </w:t>
      </w:r>
      <w:r w:rsidR="00F00ED4">
        <w:t>For reasonable network implementation, the recovery configuration should be reconfigurable by the network like any other part of the UE configuration.</w:t>
      </w:r>
    </w:p>
    <w:p w14:paraId="30306883" w14:textId="2BF6BA34" w:rsidR="00F00ED4" w:rsidRDefault="00D65D3B" w:rsidP="00CB5C5F">
      <w:pPr>
        <w:jc w:val="left"/>
      </w:pPr>
      <w:r>
        <w:lastRenderedPageBreak/>
        <w:t xml:space="preserve">Furthermore, if the UL resources configured within the recovery configuration are common resources (i.e., a contention between UEs may occur), the signalling which the UE sends to the network (indicating that the UE has switched to the recovery configuration) should identify the UE in unambiguous and secure manner. For example, the signalling could carry a C-RNTI (or similar identifier) and MAC-I (or equivalent) just like 5G </w:t>
      </w:r>
      <w:r w:rsidRPr="00D65D3B">
        <w:rPr>
          <w:i/>
          <w:iCs/>
        </w:rPr>
        <w:t>RRCReestablishmentRequest</w:t>
      </w:r>
      <w:r>
        <w:t xml:space="preserve"> does. In addition, several companies have mentioned that the network should be made aware of the part(s) of the RRC reconfiguration which caused the RRC reconfiguration failure to occur. This information could also </w:t>
      </w:r>
      <w:r w:rsidR="004625AE">
        <w:t xml:space="preserve">be </w:t>
      </w:r>
      <w:r>
        <w:t>carried in the same signalling from the UE to the network.</w:t>
      </w:r>
    </w:p>
    <w:p w14:paraId="5685140E" w14:textId="397BD97D" w:rsidR="00D65D3B" w:rsidRDefault="004625AE" w:rsidP="00D65D3B">
      <w:pPr>
        <w:pStyle w:val="Observation"/>
        <w:jc w:val="left"/>
      </w:pPr>
      <w:r>
        <w:t xml:space="preserve">Proposal </w:t>
      </w:r>
      <w:r w:rsidR="004B6CB8">
        <w:t>6</w:t>
      </w:r>
      <w:r w:rsidR="00D65D3B">
        <w:tab/>
      </w:r>
      <w:r w:rsidR="004B6CB8">
        <w:t>For o</w:t>
      </w:r>
      <w:r w:rsidR="005B202B">
        <w:t xml:space="preserve">ption 2: </w:t>
      </w:r>
      <w:r w:rsidR="00D65D3B">
        <w:t xml:space="preserve">After applying the recovery configuration, the UE should signal the network about having applied the recovery configuration. This signalling </w:t>
      </w:r>
      <w:r w:rsidR="00113564">
        <w:t xml:space="preserve">could be sent on specific UL resources, </w:t>
      </w:r>
      <w:r w:rsidR="00D65D3B">
        <w:t>should identify the UE in unambiguous and secure manner</w:t>
      </w:r>
      <w:r w:rsidR="00113564">
        <w:t>,</w:t>
      </w:r>
      <w:r w:rsidR="00D65D3B">
        <w:t xml:space="preserve"> and </w:t>
      </w:r>
      <w:r w:rsidR="00113564">
        <w:t xml:space="preserve">could </w:t>
      </w:r>
      <w:r w:rsidR="00D65D3B">
        <w:t>also let the network know which part</w:t>
      </w:r>
      <w:r w:rsidR="00C24852">
        <w:t>(s)</w:t>
      </w:r>
      <w:r w:rsidR="00D65D3B">
        <w:t xml:space="preserve"> of RRC reconfiguration caused </w:t>
      </w:r>
      <w:r w:rsidR="00113564">
        <w:t xml:space="preserve">the </w:t>
      </w:r>
      <w:r w:rsidR="00D65D3B">
        <w:t>RRC reconfiguration failur</w:t>
      </w:r>
      <w:r w:rsidR="00113564">
        <w:t>e</w:t>
      </w:r>
      <w:r w:rsidR="00D65D3B">
        <w:t>.</w:t>
      </w:r>
    </w:p>
    <w:p w14:paraId="59C995C9" w14:textId="1D0BF757" w:rsidR="00D65D3B" w:rsidRDefault="00113564" w:rsidP="00CB5C5F">
      <w:pPr>
        <w:jc w:val="left"/>
      </w:pPr>
      <w:r>
        <w:t xml:space="preserve">Finally, after receiving the above described </w:t>
      </w:r>
      <w:r w:rsidR="00A35BE1">
        <w:t>"recovery signalling"</w:t>
      </w:r>
      <w:r>
        <w:t xml:space="preserve">, the network could reconfigure the UE to more sophisticated configuration using another RRC reconfiguration procedure. </w:t>
      </w:r>
      <w:r>
        <w:fldChar w:fldCharType="begin"/>
      </w:r>
      <w:r>
        <w:instrText xml:space="preserve"> REF _Ref218771737 \h </w:instrText>
      </w:r>
      <w:r>
        <w:fldChar w:fldCharType="separate"/>
      </w:r>
      <w:r w:rsidR="005B202B">
        <w:t xml:space="preserve">Figure </w:t>
      </w:r>
      <w:r w:rsidR="005B202B">
        <w:rPr>
          <w:noProof/>
        </w:rPr>
        <w:t>2</w:t>
      </w:r>
      <w:r>
        <w:fldChar w:fldCharType="end"/>
      </w:r>
      <w:r>
        <w:t xml:space="preserve"> shows outline of the procedure.</w:t>
      </w:r>
    </w:p>
    <w:p w14:paraId="23283530" w14:textId="77777777" w:rsidR="00113564" w:rsidRDefault="00113564" w:rsidP="00113564">
      <w:pPr>
        <w:keepNext/>
        <w:jc w:val="center"/>
      </w:pPr>
      <w:r w:rsidRPr="00113564">
        <w:rPr>
          <w:noProof/>
        </w:rPr>
        <w:drawing>
          <wp:inline distT="0" distB="0" distL="0" distR="0" wp14:anchorId="15A5E3BA" wp14:editId="23C81CBC">
            <wp:extent cx="5461200" cy="3247200"/>
            <wp:effectExtent l="0" t="0" r="6350" b="0"/>
            <wp:docPr id="5" name="Picture 4">
              <a:extLst xmlns:a="http://schemas.openxmlformats.org/drawingml/2006/main">
                <a:ext uri="{FF2B5EF4-FFF2-40B4-BE49-F238E27FC236}">
                  <a16:creationId xmlns:a16="http://schemas.microsoft.com/office/drawing/2014/main" id="{CA60672D-0AA2-A9B4-5890-1C1C9137BC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A60672D-0AA2-A9B4-5890-1C1C9137BC19}"/>
                        </a:ext>
                      </a:extLst>
                    </pic:cNvPr>
                    <pic:cNvPicPr>
                      <a:picLocks noChangeAspect="1"/>
                    </pic:cNvPicPr>
                  </pic:nvPicPr>
                  <pic:blipFill>
                    <a:blip r:embed="rId12"/>
                    <a:stretch>
                      <a:fillRect/>
                    </a:stretch>
                  </pic:blipFill>
                  <pic:spPr>
                    <a:xfrm>
                      <a:off x="0" y="0"/>
                      <a:ext cx="5461200" cy="3247200"/>
                    </a:xfrm>
                    <a:prstGeom prst="rect">
                      <a:avLst/>
                    </a:prstGeom>
                  </pic:spPr>
                </pic:pic>
              </a:graphicData>
            </a:graphic>
          </wp:inline>
        </w:drawing>
      </w:r>
    </w:p>
    <w:p w14:paraId="4651FF4F" w14:textId="6F1C839E" w:rsidR="00113564" w:rsidRDefault="00113564" w:rsidP="00113564">
      <w:pPr>
        <w:pStyle w:val="Caption"/>
        <w:jc w:val="center"/>
      </w:pPr>
      <w:bookmarkStart w:id="2" w:name="_Ref218771737"/>
      <w:bookmarkStart w:id="3" w:name="_Ref218771726"/>
      <w:r>
        <w:t xml:space="preserve">Figure </w:t>
      </w:r>
      <w:r>
        <w:fldChar w:fldCharType="begin"/>
      </w:r>
      <w:r>
        <w:instrText xml:space="preserve"> SEQ Figure \* ARABIC </w:instrText>
      </w:r>
      <w:r>
        <w:fldChar w:fldCharType="separate"/>
      </w:r>
      <w:r w:rsidR="005B202B">
        <w:rPr>
          <w:noProof/>
        </w:rPr>
        <w:t>2</w:t>
      </w:r>
      <w:r>
        <w:fldChar w:fldCharType="end"/>
      </w:r>
      <w:bookmarkEnd w:id="2"/>
      <w:r>
        <w:t>. Outline of the recovery from RRC reconfiguration failure</w:t>
      </w:r>
      <w:r w:rsidR="005B202B">
        <w:t xml:space="preserve"> (option 2)</w:t>
      </w:r>
      <w:r>
        <w:t>.</w:t>
      </w:r>
      <w:bookmarkEnd w:id="3"/>
    </w:p>
    <w:p w14:paraId="33032ADC" w14:textId="7F64D0FC" w:rsidR="00863A63" w:rsidRDefault="00863A63">
      <w:pPr>
        <w:overflowPunct/>
        <w:autoSpaceDE/>
        <w:autoSpaceDN/>
        <w:adjustRightInd/>
        <w:spacing w:after="0"/>
        <w:jc w:val="left"/>
        <w:textAlignment w:val="auto"/>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14FE0B14" w14:textId="77777777" w:rsidR="00E4300B" w:rsidRPr="00BA2E31" w:rsidRDefault="00E4300B" w:rsidP="00E4300B">
      <w:pPr>
        <w:pStyle w:val="Observation"/>
        <w:jc w:val="left"/>
        <w:rPr>
          <w:b w:val="0"/>
          <w:bCs w:val="0"/>
        </w:rPr>
      </w:pPr>
      <w:r w:rsidRPr="00BA2E31">
        <w:rPr>
          <w:b w:val="0"/>
          <w:bCs w:val="0"/>
        </w:rPr>
        <w:t>Observation 1</w:t>
      </w:r>
      <w:r w:rsidRPr="00BA2E31">
        <w:rPr>
          <w:b w:val="0"/>
          <w:bCs w:val="0"/>
        </w:rPr>
        <w:tab/>
        <w:t>It is very difficult to specify a generic, simple, and robust rule when the 'good part' of the new RRC configuration could be applied without applying the new RRC configuration fully. For this reason, a solution based on partial application of the new RRC configuration has a high risk of becoming unimplementable paper feature.</w:t>
      </w:r>
    </w:p>
    <w:p w14:paraId="5C9F23A1" w14:textId="77777777" w:rsidR="00BA2E31" w:rsidRDefault="00BA2E31" w:rsidP="00BA2E31">
      <w:pPr>
        <w:pStyle w:val="Observation"/>
        <w:ind w:left="1559" w:hanging="1559"/>
        <w:jc w:val="left"/>
      </w:pPr>
      <w:r>
        <w:t xml:space="preserve">Proposal 1 </w:t>
      </w:r>
      <w:r>
        <w:tab/>
        <w:t>Do not define partial application of the RRC configuration in 6G RRC.</w:t>
      </w:r>
    </w:p>
    <w:p w14:paraId="4697FB2D" w14:textId="4BC13531" w:rsidR="00787678" w:rsidRPr="00BA2E31" w:rsidRDefault="00787678" w:rsidP="00787678">
      <w:pPr>
        <w:pStyle w:val="Observation"/>
        <w:jc w:val="left"/>
        <w:rPr>
          <w:b w:val="0"/>
          <w:bCs w:val="0"/>
        </w:rPr>
      </w:pPr>
      <w:r w:rsidRPr="00BA2E31">
        <w:rPr>
          <w:b w:val="0"/>
          <w:bCs w:val="0"/>
        </w:rPr>
        <w:t>Observation 2</w:t>
      </w:r>
      <w:r w:rsidRPr="00BA2E31">
        <w:rPr>
          <w:b w:val="0"/>
          <w:bCs w:val="0"/>
        </w:rPr>
        <w:tab/>
        <w:t>Upon RRC connection re-establishment in 5G, the UE applies a configuration which is unambiguously known by both the UE and the network. This provides a solid, common baseline for robust recovery.</w:t>
      </w:r>
    </w:p>
    <w:p w14:paraId="7644683B" w14:textId="77777777" w:rsidR="004B6CB8" w:rsidRDefault="004B6CB8" w:rsidP="004B6CB8">
      <w:pPr>
        <w:pStyle w:val="Observation"/>
        <w:ind w:left="1559" w:hanging="1559"/>
        <w:jc w:val="left"/>
      </w:pPr>
      <w:r>
        <w:t>Proposal 2a</w:t>
      </w:r>
      <w:r>
        <w:tab/>
        <w:t>Option 1: RAN2 to study using the current UE configuration, without triggering RRC connection re-establishment, for recovery from RRC reconfiguration failure.</w:t>
      </w:r>
    </w:p>
    <w:p w14:paraId="395F906D" w14:textId="77777777" w:rsidR="004B6CB8" w:rsidRDefault="004B6CB8" w:rsidP="004B6CB8">
      <w:pPr>
        <w:pStyle w:val="Observation"/>
        <w:ind w:left="1559" w:hanging="1559"/>
        <w:jc w:val="left"/>
      </w:pPr>
      <w:r>
        <w:t>Proposal 2b</w:t>
      </w:r>
      <w:r>
        <w:tab/>
        <w:t xml:space="preserve">Option 2: RAN2 to study using a separate configuration </w:t>
      </w:r>
      <w:r>
        <w:rPr>
          <w:bCs w:val="0"/>
        </w:rPr>
        <w:t>("recovery configuration")</w:t>
      </w:r>
      <w:r>
        <w:t>, known unambiguously by both the UE and the network, which the UE applies, without triggering RRC connection re-establishment, for recovery from RRC reconfiguration failure.</w:t>
      </w:r>
    </w:p>
    <w:p w14:paraId="3540AFFC" w14:textId="2D8A7F28" w:rsidR="00D251B4" w:rsidRPr="00D251B4" w:rsidRDefault="00D251B4" w:rsidP="004B6CB8">
      <w:pPr>
        <w:pStyle w:val="Observation"/>
        <w:jc w:val="left"/>
        <w:rPr>
          <w:b w:val="0"/>
          <w:bCs w:val="0"/>
          <w:u w:val="single"/>
        </w:rPr>
      </w:pPr>
      <w:r w:rsidRPr="00D251B4">
        <w:rPr>
          <w:b w:val="0"/>
          <w:bCs w:val="0"/>
          <w:u w:val="single"/>
        </w:rPr>
        <w:t>Details for option 1</w:t>
      </w:r>
    </w:p>
    <w:p w14:paraId="1E76F76B" w14:textId="592D2DBE" w:rsidR="004B6CB8" w:rsidRDefault="004B6CB8" w:rsidP="004B6CB8">
      <w:pPr>
        <w:pStyle w:val="Observation"/>
        <w:jc w:val="left"/>
      </w:pPr>
      <w:r>
        <w:t>Proposal 3</w:t>
      </w:r>
      <w:r>
        <w:tab/>
        <w:t>For option 1: After continuing to use the current UE configuration, the UE should signal the network about RRC reconfiguration failure. This signalling could also let the network know which part</w:t>
      </w:r>
      <w:r w:rsidR="00C24852">
        <w:t>(s)</w:t>
      </w:r>
      <w:r>
        <w:t xml:space="preserve"> of RRC reconfiguration caused the RRC reconfiguration failure.</w:t>
      </w:r>
    </w:p>
    <w:p w14:paraId="4A299A9D" w14:textId="084F23B4" w:rsidR="00D251B4" w:rsidRDefault="00D251B4" w:rsidP="00D251B4">
      <w:pPr>
        <w:pStyle w:val="Observation"/>
        <w:jc w:val="left"/>
        <w:rPr>
          <w:b w:val="0"/>
          <w:bCs w:val="0"/>
          <w:u w:val="single"/>
        </w:rPr>
      </w:pPr>
      <w:r>
        <w:rPr>
          <w:b w:val="0"/>
          <w:bCs w:val="0"/>
          <w:u w:val="single"/>
        </w:rPr>
        <w:t xml:space="preserve">Details for option </w:t>
      </w:r>
      <w:r>
        <w:rPr>
          <w:b w:val="0"/>
          <w:bCs w:val="0"/>
          <w:u w:val="single"/>
        </w:rPr>
        <w:t>2</w:t>
      </w:r>
    </w:p>
    <w:p w14:paraId="5ED83947" w14:textId="6457F8CC" w:rsidR="004B6CB8" w:rsidRDefault="004B6CB8" w:rsidP="004B6CB8">
      <w:pPr>
        <w:pStyle w:val="Observation"/>
        <w:jc w:val="left"/>
      </w:pPr>
      <w:r>
        <w:t>Proposal 4</w:t>
      </w:r>
      <w:r>
        <w:tab/>
        <w:t>For option 2: The recovery configuration should enable user data transfer to continue. The recovery configuration should be simple configuration configuring the UE to operate in the current PCell without advanced features.</w:t>
      </w:r>
    </w:p>
    <w:p w14:paraId="3421BD64" w14:textId="0A9A1CC0" w:rsidR="004B6CB8" w:rsidRDefault="004B6CB8" w:rsidP="004B6CB8">
      <w:pPr>
        <w:pStyle w:val="Observation"/>
        <w:jc w:val="left"/>
      </w:pPr>
      <w:r>
        <w:t>Proposal 5</w:t>
      </w:r>
      <w:r>
        <w:tab/>
        <w:t>For option 2: For reasonable network implementation, the recovery configuration should be reconfigurable by the network like any other part of the UE configuration.</w:t>
      </w:r>
    </w:p>
    <w:p w14:paraId="51CA82BE" w14:textId="727600C1" w:rsidR="008373AA" w:rsidRDefault="004B6CB8" w:rsidP="008373AA">
      <w:pPr>
        <w:pStyle w:val="Observation"/>
        <w:ind w:left="1559" w:hanging="1559"/>
        <w:jc w:val="left"/>
      </w:pPr>
      <w:r>
        <w:t>Proposal 6</w:t>
      </w:r>
      <w:r>
        <w:tab/>
        <w:t>For option 2: After applying the recovery configuration, the UE should signal the network about having applied the recovery configuration. This signalling could be sent on specific UL resources, should identify the UE in unambiguous and secure manner, and could also let the network know which part</w:t>
      </w:r>
      <w:r w:rsidR="00C24852">
        <w:t>(s)</w:t>
      </w:r>
      <w:r>
        <w:t xml:space="preserve"> of RRC reconfiguration caused the RRC reconfiguration failure.</w:t>
      </w:r>
    </w:p>
    <w:p w14:paraId="5BAC85CF" w14:textId="1B8FF87D"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bookmarkStart w:id="4" w:name="_Ref212017560"/>
    <w:p w14:paraId="305C69B7" w14:textId="1F459582" w:rsidR="00FB096E" w:rsidRDefault="00581529" w:rsidP="00E014A3">
      <w:pPr>
        <w:pStyle w:val="Reference"/>
        <w:numPr>
          <w:ilvl w:val="0"/>
          <w:numId w:val="87"/>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“Report of 3GPP RAN2 WG2 meeting #131bis, Prague, Czech Republic”, ETSI MCC, RAN2#131bis</w:t>
      </w:r>
      <w:bookmarkEnd w:id="4"/>
    </w:p>
    <w:p w14:paraId="479BDCDD" w14:textId="5AF7E8D6" w:rsidR="00581529" w:rsidRDefault="00581529" w:rsidP="00E014A3">
      <w:pPr>
        <w:pStyle w:val="Reference"/>
        <w:numPr>
          <w:ilvl w:val="0"/>
          <w:numId w:val="87"/>
        </w:numPr>
        <w:jc w:val="left"/>
        <w:textAlignment w:val="auto"/>
      </w:pPr>
      <w:bookmarkStart w:id="5" w:name="_Ref217380074"/>
      <w:r w:rsidRPr="009620A2">
        <w:t>R2-250xxxx</w:t>
      </w:r>
      <w:r>
        <w:t>: “Report of 3GPP RAN2 WG2 meeting #132, Dallas, US”, ETSI MCC, RAN2#132</w:t>
      </w:r>
      <w:bookmarkEnd w:id="5"/>
    </w:p>
    <w:bookmarkStart w:id="6" w:name="_Ref217380113"/>
    <w:p w14:paraId="435BDE8B" w14:textId="4C46F9E7" w:rsidR="00581529" w:rsidRPr="00F54003" w:rsidRDefault="00000000" w:rsidP="00E014A3">
      <w:pPr>
        <w:pStyle w:val="Reference"/>
        <w:numPr>
          <w:ilvl w:val="0"/>
          <w:numId w:val="87"/>
        </w:numPr>
        <w:jc w:val="left"/>
        <w:textAlignment w:val="auto"/>
      </w:pPr>
      <w:r>
        <w:fldChar w:fldCharType="begin"/>
      </w:r>
      <w:r>
        <w:instrText>HYPERLINK "https://www.3gpp.org/ftp/tsg_ran/WG2_RL2/TSGR2_132/Docs/R2-2508758.zip"</w:instrText>
      </w:r>
      <w:r>
        <w:fldChar w:fldCharType="separate"/>
      </w:r>
      <w:r w:rsidR="00581529" w:rsidRPr="00581529">
        <w:rPr>
          <w:rStyle w:val="Hyperlink"/>
        </w:rPr>
        <w:t>R2-2508758</w:t>
      </w:r>
      <w:r>
        <w:rPr>
          <w:rStyle w:val="Hyperlink"/>
        </w:rPr>
        <w:fldChar w:fldCharType="end"/>
      </w:r>
      <w:r w:rsidR="00581529">
        <w:t>: “</w:t>
      </w:r>
      <w:r w:rsidR="00581529" w:rsidRPr="00581529">
        <w:t>Views on 6G RRC structure and (re)configuration</w:t>
      </w:r>
      <w:r w:rsidR="00581529">
        <w:t>”, Qualcomm Incorporated, RAN2#132</w:t>
      </w:r>
      <w:bookmarkEnd w:id="6"/>
    </w:p>
    <w:sectPr w:rsidR="00581529" w:rsidRPr="00F54003" w:rsidSect="00863A63">
      <w:footnotePr>
        <w:numRestart w:val="eachSect"/>
      </w:footnotePr>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7ACB" w14:textId="77777777" w:rsidR="000368E1" w:rsidRDefault="000368E1" w:rsidP="0060035A">
      <w:r>
        <w:separator/>
      </w:r>
    </w:p>
  </w:endnote>
  <w:endnote w:type="continuationSeparator" w:id="0">
    <w:p w14:paraId="27854202" w14:textId="77777777" w:rsidR="000368E1" w:rsidRDefault="000368E1"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48C7" w14:textId="77777777" w:rsidR="000368E1" w:rsidRDefault="000368E1" w:rsidP="0060035A">
      <w:r>
        <w:separator/>
      </w:r>
    </w:p>
  </w:footnote>
  <w:footnote w:type="continuationSeparator" w:id="0">
    <w:p w14:paraId="30825184" w14:textId="77777777" w:rsidR="000368E1" w:rsidRDefault="000368E1" w:rsidP="00600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927BB"/>
    <w:multiLevelType w:val="hybridMultilevel"/>
    <w:tmpl w:val="DFDED010"/>
    <w:lvl w:ilvl="0" w:tplc="FFFFFFFF">
      <w:start w:val="1"/>
      <w:numFmt w:val="decimal"/>
      <w:lvlText w:val="Proposal %1"/>
      <w:lvlJc w:val="left"/>
      <w:pPr>
        <w:tabs>
          <w:tab w:val="num" w:pos="1304"/>
        </w:tabs>
        <w:ind w:left="1304" w:hanging="1304"/>
      </w:pPr>
      <w:rPr>
        <w:rFonts w:ascii="Arial" w:hAnsi="Arial" w:cs="Aria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88462A"/>
    <w:multiLevelType w:val="hybridMultilevel"/>
    <w:tmpl w:val="EE12C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56F2D"/>
    <w:multiLevelType w:val="hybridMultilevel"/>
    <w:tmpl w:val="CE90E6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FB2010E"/>
    <w:multiLevelType w:val="hybridMultilevel"/>
    <w:tmpl w:val="246EF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4F1C05"/>
    <w:multiLevelType w:val="hybridMultilevel"/>
    <w:tmpl w:val="6858760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9702DE"/>
    <w:multiLevelType w:val="hybridMultilevel"/>
    <w:tmpl w:val="3B5A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68271C"/>
    <w:multiLevelType w:val="hybridMultilevel"/>
    <w:tmpl w:val="1B6EC0D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7"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1CF8A442"/>
    <w:lvl w:ilvl="0" w:tplc="E4D450D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507F46"/>
    <w:multiLevelType w:val="hybridMultilevel"/>
    <w:tmpl w:val="98BAB8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B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772CA6"/>
    <w:multiLevelType w:val="hybridMultilevel"/>
    <w:tmpl w:val="18FCCF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706E3C">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F46CD6"/>
    <w:multiLevelType w:val="hybridMultilevel"/>
    <w:tmpl w:val="EDB26ECE"/>
    <w:lvl w:ilvl="0" w:tplc="FFFFFFFF">
      <w:start w:val="1"/>
      <w:numFmt w:val="decimal"/>
      <w:lvlText w:val="Proposal %1"/>
      <w:lvlJc w:val="left"/>
      <w:pPr>
        <w:tabs>
          <w:tab w:val="num" w:pos="1304"/>
        </w:tabs>
        <w:ind w:left="1304" w:hanging="1304"/>
      </w:pPr>
      <w:rPr>
        <w:rFonts w:ascii="Arial" w:hAnsi="Arial" w:cs="Arial" w:hint="default"/>
      </w:rPr>
    </w:lvl>
    <w:lvl w:ilvl="1" w:tplc="040B0001">
      <w:start w:val="1"/>
      <w:numFmt w:val="bullet"/>
      <w:lvlText w:val=""/>
      <w:lvlJc w:val="left"/>
      <w:pPr>
        <w:ind w:left="1440" w:hanging="360"/>
      </w:pPr>
      <w:rPr>
        <w:rFonts w:ascii="Symbol" w:hAnsi="Symbol" w:hint="default"/>
      </w:rPr>
    </w:lvl>
    <w:lvl w:ilvl="2" w:tplc="FFFFFFFF">
      <w:numFmt w:val="bullet"/>
      <w:lvlText w:val="-"/>
      <w:lvlJc w:val="left"/>
      <w:pPr>
        <w:ind w:left="2340" w:hanging="360"/>
      </w:pPr>
      <w:rPr>
        <w:rFonts w:ascii="Arial" w:eastAsia="PMingLiU"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9D3563"/>
    <w:multiLevelType w:val="hybridMultilevel"/>
    <w:tmpl w:val="2C24D28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6055EA"/>
    <w:multiLevelType w:val="hybridMultilevel"/>
    <w:tmpl w:val="0760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D11878"/>
    <w:multiLevelType w:val="hybridMultilevel"/>
    <w:tmpl w:val="BAEEC1E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6" w15:restartNumberingAfterBreak="0">
    <w:nsid w:val="73CE0019"/>
    <w:multiLevelType w:val="hybridMultilevel"/>
    <w:tmpl w:val="E894029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6F5F4D"/>
    <w:multiLevelType w:val="hybridMultilevel"/>
    <w:tmpl w:val="AD1A48C0"/>
    <w:lvl w:ilvl="0" w:tplc="FFFFFFFF">
      <w:start w:val="1"/>
      <w:numFmt w:val="bullet"/>
      <w:lvlText w:val=""/>
      <w:lvlJc w:val="left"/>
      <w:pPr>
        <w:ind w:left="2157" w:hanging="360"/>
      </w:pPr>
      <w:rPr>
        <w:rFonts w:ascii="Symbol" w:hAnsi="Symbol" w:hint="default"/>
      </w:rPr>
    </w:lvl>
    <w:lvl w:ilvl="1" w:tplc="040B0003" w:tentative="1">
      <w:start w:val="1"/>
      <w:numFmt w:val="bullet"/>
      <w:lvlText w:val="o"/>
      <w:lvlJc w:val="left"/>
      <w:pPr>
        <w:ind w:left="2877" w:hanging="360"/>
      </w:pPr>
      <w:rPr>
        <w:rFonts w:ascii="Courier New" w:hAnsi="Courier New" w:cs="Courier New" w:hint="default"/>
      </w:rPr>
    </w:lvl>
    <w:lvl w:ilvl="2" w:tplc="040B0005" w:tentative="1">
      <w:start w:val="1"/>
      <w:numFmt w:val="bullet"/>
      <w:lvlText w:val=""/>
      <w:lvlJc w:val="left"/>
      <w:pPr>
        <w:ind w:left="3597" w:hanging="360"/>
      </w:pPr>
      <w:rPr>
        <w:rFonts w:ascii="Wingdings" w:hAnsi="Wingdings" w:hint="default"/>
      </w:rPr>
    </w:lvl>
    <w:lvl w:ilvl="3" w:tplc="040B0001" w:tentative="1">
      <w:start w:val="1"/>
      <w:numFmt w:val="bullet"/>
      <w:lvlText w:val=""/>
      <w:lvlJc w:val="left"/>
      <w:pPr>
        <w:ind w:left="4317" w:hanging="360"/>
      </w:pPr>
      <w:rPr>
        <w:rFonts w:ascii="Symbol" w:hAnsi="Symbol" w:hint="default"/>
      </w:rPr>
    </w:lvl>
    <w:lvl w:ilvl="4" w:tplc="040B0003" w:tentative="1">
      <w:start w:val="1"/>
      <w:numFmt w:val="bullet"/>
      <w:lvlText w:val="o"/>
      <w:lvlJc w:val="left"/>
      <w:pPr>
        <w:ind w:left="5037" w:hanging="360"/>
      </w:pPr>
      <w:rPr>
        <w:rFonts w:ascii="Courier New" w:hAnsi="Courier New" w:cs="Courier New" w:hint="default"/>
      </w:rPr>
    </w:lvl>
    <w:lvl w:ilvl="5" w:tplc="040B0005" w:tentative="1">
      <w:start w:val="1"/>
      <w:numFmt w:val="bullet"/>
      <w:lvlText w:val=""/>
      <w:lvlJc w:val="left"/>
      <w:pPr>
        <w:ind w:left="5757" w:hanging="360"/>
      </w:pPr>
      <w:rPr>
        <w:rFonts w:ascii="Wingdings" w:hAnsi="Wingdings" w:hint="default"/>
      </w:rPr>
    </w:lvl>
    <w:lvl w:ilvl="6" w:tplc="040B0001" w:tentative="1">
      <w:start w:val="1"/>
      <w:numFmt w:val="bullet"/>
      <w:lvlText w:val=""/>
      <w:lvlJc w:val="left"/>
      <w:pPr>
        <w:ind w:left="6477" w:hanging="360"/>
      </w:pPr>
      <w:rPr>
        <w:rFonts w:ascii="Symbol" w:hAnsi="Symbol" w:hint="default"/>
      </w:rPr>
    </w:lvl>
    <w:lvl w:ilvl="7" w:tplc="040B0003" w:tentative="1">
      <w:start w:val="1"/>
      <w:numFmt w:val="bullet"/>
      <w:lvlText w:val="o"/>
      <w:lvlJc w:val="left"/>
      <w:pPr>
        <w:ind w:left="7197" w:hanging="360"/>
      </w:pPr>
      <w:rPr>
        <w:rFonts w:ascii="Courier New" w:hAnsi="Courier New" w:cs="Courier New" w:hint="default"/>
      </w:rPr>
    </w:lvl>
    <w:lvl w:ilvl="8" w:tplc="040B0005" w:tentative="1">
      <w:start w:val="1"/>
      <w:numFmt w:val="bullet"/>
      <w:lvlText w:val=""/>
      <w:lvlJc w:val="left"/>
      <w:pPr>
        <w:ind w:left="7917" w:hanging="360"/>
      </w:pPr>
      <w:rPr>
        <w:rFonts w:ascii="Wingdings" w:hAnsi="Wingdings" w:hint="default"/>
      </w:r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5"/>
  </w:num>
  <w:num w:numId="2" w16cid:durableId="1639341018">
    <w:abstractNumId w:val="31"/>
  </w:num>
  <w:num w:numId="3" w16cid:durableId="149030463">
    <w:abstractNumId w:val="27"/>
  </w:num>
  <w:num w:numId="4" w16cid:durableId="1793861358">
    <w:abstractNumId w:val="28"/>
  </w:num>
  <w:num w:numId="5" w16cid:durableId="1243223580">
    <w:abstractNumId w:val="20"/>
  </w:num>
  <w:num w:numId="6" w16cid:durableId="228659845">
    <w:abstractNumId w:val="30"/>
  </w:num>
  <w:num w:numId="7" w16cid:durableId="758915933">
    <w:abstractNumId w:val="36"/>
  </w:num>
  <w:num w:numId="8" w16cid:durableId="779645832">
    <w:abstractNumId w:val="21"/>
  </w:num>
  <w:num w:numId="9" w16cid:durableId="237790278">
    <w:abstractNumId w:val="16"/>
  </w:num>
  <w:num w:numId="10" w16cid:durableId="1774858864">
    <w:abstractNumId w:val="2"/>
  </w:num>
  <w:num w:numId="11" w16cid:durableId="98722567">
    <w:abstractNumId w:val="1"/>
  </w:num>
  <w:num w:numId="12" w16cid:durableId="818768327">
    <w:abstractNumId w:val="0"/>
  </w:num>
  <w:num w:numId="13" w16cid:durableId="1463575834">
    <w:abstractNumId w:val="32"/>
  </w:num>
  <w:num w:numId="14" w16cid:durableId="1237780611">
    <w:abstractNumId w:val="33"/>
  </w:num>
  <w:num w:numId="15" w16cid:durableId="1303653466">
    <w:abstractNumId w:val="29"/>
  </w:num>
  <w:num w:numId="16" w16cid:durableId="1461000268">
    <w:abstractNumId w:val="37"/>
  </w:num>
  <w:num w:numId="17" w16cid:durableId="2068138227">
    <w:abstractNumId w:val="11"/>
  </w:num>
  <w:num w:numId="18" w16cid:durableId="458114767">
    <w:abstractNumId w:val="13"/>
  </w:num>
  <w:num w:numId="19" w16cid:durableId="995108944">
    <w:abstractNumId w:val="7"/>
  </w:num>
  <w:num w:numId="20" w16cid:durableId="822239829">
    <w:abstractNumId w:val="47"/>
  </w:num>
  <w:num w:numId="21" w16cid:durableId="976183084">
    <w:abstractNumId w:val="24"/>
  </w:num>
  <w:num w:numId="22" w16cid:durableId="1374117700">
    <w:abstractNumId w:val="42"/>
  </w:num>
  <w:num w:numId="23" w16cid:durableId="641887580">
    <w:abstractNumId w:val="43"/>
  </w:num>
  <w:num w:numId="24" w16cid:durableId="1930237104">
    <w:abstractNumId w:val="38"/>
  </w:num>
  <w:num w:numId="25" w16cid:durableId="883368040">
    <w:abstractNumId w:val="19"/>
  </w:num>
  <w:num w:numId="26" w16cid:durableId="2123258985">
    <w:abstractNumId w:val="14"/>
  </w:num>
  <w:num w:numId="27" w16cid:durableId="36855504">
    <w:abstractNumId w:val="12"/>
  </w:num>
  <w:num w:numId="28" w16cid:durableId="1863397989">
    <w:abstractNumId w:val="8"/>
  </w:num>
  <w:num w:numId="29" w16cid:durableId="483739148">
    <w:abstractNumId w:val="17"/>
  </w:num>
  <w:num w:numId="30" w16cid:durableId="1289819180">
    <w:abstractNumId w:val="40"/>
  </w:num>
  <w:num w:numId="31" w16cid:durableId="2116288603">
    <w:abstractNumId w:val="49"/>
  </w:num>
  <w:num w:numId="32" w16cid:durableId="1902667659">
    <w:abstractNumId w:val="9"/>
  </w:num>
  <w:num w:numId="33" w16cid:durableId="613099520">
    <w:abstractNumId w:val="22"/>
  </w:num>
  <w:num w:numId="34" w16cid:durableId="808982930">
    <w:abstractNumId w:val="15"/>
  </w:num>
  <w:num w:numId="35" w16cid:durableId="19683129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54369">
    <w:abstractNumId w:val="44"/>
  </w:num>
  <w:num w:numId="37" w16cid:durableId="432635005">
    <w:abstractNumId w:val="25"/>
  </w:num>
  <w:num w:numId="38" w16cid:durableId="129178265">
    <w:abstractNumId w:val="25"/>
  </w:num>
  <w:num w:numId="39" w16cid:durableId="427385486">
    <w:abstractNumId w:val="18"/>
  </w:num>
  <w:num w:numId="40" w16cid:durableId="532499376">
    <w:abstractNumId w:val="45"/>
  </w:num>
  <w:num w:numId="41" w16cid:durableId="1696541826">
    <w:abstractNumId w:val="26"/>
  </w:num>
  <w:num w:numId="42" w16cid:durableId="570701897">
    <w:abstractNumId w:val="39"/>
  </w:num>
  <w:num w:numId="43" w16cid:durableId="2097509613">
    <w:abstractNumId w:val="3"/>
  </w:num>
  <w:num w:numId="44" w16cid:durableId="951860021">
    <w:abstractNumId w:val="23"/>
  </w:num>
  <w:num w:numId="45" w16cid:durableId="1353385767">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41121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164817">
    <w:abstractNumId w:val="27"/>
  </w:num>
  <w:num w:numId="48" w16cid:durableId="939996643">
    <w:abstractNumId w:val="27"/>
  </w:num>
  <w:num w:numId="49" w16cid:durableId="1948005793">
    <w:abstractNumId w:val="27"/>
    <w:lvlOverride w:ilvl="0">
      <w:startOverride w:val="1"/>
    </w:lvlOverride>
  </w:num>
  <w:num w:numId="50" w16cid:durableId="424805931">
    <w:abstractNumId w:val="27"/>
  </w:num>
  <w:num w:numId="51" w16cid:durableId="1574510768">
    <w:abstractNumId w:val="10"/>
  </w:num>
  <w:num w:numId="52" w16cid:durableId="1136026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134747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8941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4000144">
    <w:abstractNumId w:val="32"/>
    <w:lvlOverride w:ilvl="0">
      <w:startOverride w:val="1"/>
    </w:lvlOverride>
  </w:num>
  <w:num w:numId="56" w16cid:durableId="279265618">
    <w:abstractNumId w:val="32"/>
  </w:num>
  <w:num w:numId="57" w16cid:durableId="1902860211">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9570085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1327245">
    <w:abstractNumId w:val="27"/>
  </w:num>
  <w:num w:numId="60" w16cid:durableId="1446928603">
    <w:abstractNumId w:val="27"/>
  </w:num>
  <w:num w:numId="61" w16cid:durableId="203443934">
    <w:abstractNumId w:val="27"/>
  </w:num>
  <w:num w:numId="62" w16cid:durableId="1949385698">
    <w:abstractNumId w:val="27"/>
  </w:num>
  <w:num w:numId="63" w16cid:durableId="1008098258">
    <w:abstractNumId w:val="32"/>
  </w:num>
  <w:num w:numId="64" w16cid:durableId="2126805969">
    <w:abstractNumId w:val="32"/>
  </w:num>
  <w:num w:numId="65" w16cid:durableId="2143689158">
    <w:abstractNumId w:val="32"/>
  </w:num>
  <w:num w:numId="66" w16cid:durableId="1290042926">
    <w:abstractNumId w:val="32"/>
  </w:num>
  <w:num w:numId="67" w16cid:durableId="2102332247">
    <w:abstractNumId w:val="32"/>
  </w:num>
  <w:num w:numId="68" w16cid:durableId="559707063">
    <w:abstractNumId w:val="6"/>
  </w:num>
  <w:num w:numId="69" w16cid:durableId="1668289705">
    <w:abstractNumId w:val="34"/>
  </w:num>
  <w:num w:numId="70" w16cid:durableId="506483757">
    <w:abstractNumId w:val="35"/>
  </w:num>
  <w:num w:numId="71" w16cid:durableId="168373246">
    <w:abstractNumId w:val="48"/>
  </w:num>
  <w:num w:numId="72" w16cid:durableId="1246837139">
    <w:abstractNumId w:val="32"/>
  </w:num>
  <w:num w:numId="73" w16cid:durableId="464279202">
    <w:abstractNumId w:val="32"/>
  </w:num>
  <w:num w:numId="74" w16cid:durableId="1325939170">
    <w:abstractNumId w:val="32"/>
  </w:num>
  <w:num w:numId="75" w16cid:durableId="832793713">
    <w:abstractNumId w:val="32"/>
  </w:num>
  <w:num w:numId="76" w16cid:durableId="1726177675">
    <w:abstractNumId w:val="32"/>
  </w:num>
  <w:num w:numId="77" w16cid:durableId="1680624160">
    <w:abstractNumId w:val="32"/>
  </w:num>
  <w:num w:numId="78" w16cid:durableId="332876655">
    <w:abstractNumId w:val="32"/>
  </w:num>
  <w:num w:numId="79" w16cid:durableId="2035618113">
    <w:abstractNumId w:val="32"/>
  </w:num>
  <w:num w:numId="80" w16cid:durableId="1250844995">
    <w:abstractNumId w:val="32"/>
  </w:num>
  <w:num w:numId="81" w16cid:durableId="396322483">
    <w:abstractNumId w:val="32"/>
  </w:num>
  <w:num w:numId="82" w16cid:durableId="473914193">
    <w:abstractNumId w:val="32"/>
  </w:num>
  <w:num w:numId="83" w16cid:durableId="1448158829">
    <w:abstractNumId w:val="48"/>
  </w:num>
  <w:num w:numId="84" w16cid:durableId="283004412">
    <w:abstractNumId w:val="48"/>
  </w:num>
  <w:num w:numId="85" w16cid:durableId="1257903531">
    <w:abstractNumId w:val="31"/>
  </w:num>
  <w:num w:numId="86" w16cid:durableId="345517598">
    <w:abstractNumId w:val="48"/>
  </w:num>
  <w:num w:numId="87" w16cid:durableId="2010405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74916183">
    <w:abstractNumId w:val="4"/>
  </w:num>
  <w:num w:numId="89" w16cid:durableId="1539271592">
    <w:abstractNumId w:val="43"/>
  </w:num>
  <w:num w:numId="90" w16cid:durableId="1372992230">
    <w:abstractNumId w:val="4"/>
  </w:num>
  <w:num w:numId="91" w16cid:durableId="33287773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56708965">
    <w:abstractNumId w:val="4"/>
  </w:num>
  <w:num w:numId="93" w16cid:durableId="293561255">
    <w:abstractNumId w:val="10"/>
  </w:num>
  <w:num w:numId="94" w16cid:durableId="652684207">
    <w:abstractNumId w:val="4"/>
  </w:num>
  <w:num w:numId="95" w16cid:durableId="936986892">
    <w:abstractNumId w:val="48"/>
  </w:num>
  <w:num w:numId="96" w16cid:durableId="858273735">
    <w:abstractNumId w:val="48"/>
  </w:num>
  <w:num w:numId="97" w16cid:durableId="1785271846">
    <w:abstractNumId w:val="43"/>
  </w:num>
  <w:num w:numId="98" w16cid:durableId="1739405297">
    <w:abstractNumId w:val="41"/>
    <w:lvlOverride w:ilvl="0">
      <w:startOverride w:val="1"/>
    </w:lvlOverride>
    <w:lvlOverride w:ilvl="1"/>
    <w:lvlOverride w:ilvl="2"/>
    <w:lvlOverride w:ilvl="3"/>
    <w:lvlOverride w:ilvl="4"/>
    <w:lvlOverride w:ilvl="5"/>
    <w:lvlOverride w:ilvl="6"/>
    <w:lvlOverride w:ilvl="7"/>
    <w:lvlOverride w:ilvl="8"/>
  </w:num>
  <w:num w:numId="99" w16cid:durableId="9056459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1557866">
    <w:abstractNumId w:val="46"/>
  </w:num>
  <w:num w:numId="101" w16cid:durableId="1663195587">
    <w:abstractNumId w:val="4"/>
  </w:num>
  <w:num w:numId="102" w16cid:durableId="174195437">
    <w:abstractNumId w:val="4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26E06"/>
    <w:rsid w:val="000325B8"/>
    <w:rsid w:val="0003356D"/>
    <w:rsid w:val="00034C15"/>
    <w:rsid w:val="000368E1"/>
    <w:rsid w:val="00036BA1"/>
    <w:rsid w:val="00041D07"/>
    <w:rsid w:val="000422E2"/>
    <w:rsid w:val="00042F22"/>
    <w:rsid w:val="000444EF"/>
    <w:rsid w:val="000464EE"/>
    <w:rsid w:val="0005261A"/>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512"/>
    <w:rsid w:val="000866F2"/>
    <w:rsid w:val="0009009F"/>
    <w:rsid w:val="00091557"/>
    <w:rsid w:val="000924C1"/>
    <w:rsid w:val="000924F0"/>
    <w:rsid w:val="00093474"/>
    <w:rsid w:val="0009510F"/>
    <w:rsid w:val="000A0DF4"/>
    <w:rsid w:val="000A1801"/>
    <w:rsid w:val="000A1B7B"/>
    <w:rsid w:val="000A56F2"/>
    <w:rsid w:val="000A7733"/>
    <w:rsid w:val="000B2719"/>
    <w:rsid w:val="000B2AD1"/>
    <w:rsid w:val="000B3A8F"/>
    <w:rsid w:val="000B4AB9"/>
    <w:rsid w:val="000B5740"/>
    <w:rsid w:val="000B58C3"/>
    <w:rsid w:val="000B61E9"/>
    <w:rsid w:val="000C165A"/>
    <w:rsid w:val="000C2B16"/>
    <w:rsid w:val="000C2E19"/>
    <w:rsid w:val="000C3312"/>
    <w:rsid w:val="000C467B"/>
    <w:rsid w:val="000D0D07"/>
    <w:rsid w:val="000D3AB1"/>
    <w:rsid w:val="000D4797"/>
    <w:rsid w:val="000D719F"/>
    <w:rsid w:val="000E0128"/>
    <w:rsid w:val="000E0527"/>
    <w:rsid w:val="000E1E92"/>
    <w:rsid w:val="000E3579"/>
    <w:rsid w:val="000E6602"/>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11F7"/>
    <w:rsid w:val="001124B7"/>
    <w:rsid w:val="00113564"/>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26D2C"/>
    <w:rsid w:val="001300A3"/>
    <w:rsid w:val="00132655"/>
    <w:rsid w:val="00132FD0"/>
    <w:rsid w:val="001344C0"/>
    <w:rsid w:val="001346FA"/>
    <w:rsid w:val="00135252"/>
    <w:rsid w:val="00135DCB"/>
    <w:rsid w:val="00137AB5"/>
    <w:rsid w:val="00137F0B"/>
    <w:rsid w:val="00143A10"/>
    <w:rsid w:val="00144E71"/>
    <w:rsid w:val="00146CDC"/>
    <w:rsid w:val="00151E23"/>
    <w:rsid w:val="001526E0"/>
    <w:rsid w:val="001540E1"/>
    <w:rsid w:val="001551B5"/>
    <w:rsid w:val="00164F1A"/>
    <w:rsid w:val="001659C1"/>
    <w:rsid w:val="00170B7B"/>
    <w:rsid w:val="00173A8E"/>
    <w:rsid w:val="00173F6A"/>
    <w:rsid w:val="0017502C"/>
    <w:rsid w:val="00181432"/>
    <w:rsid w:val="0018143F"/>
    <w:rsid w:val="00181FF8"/>
    <w:rsid w:val="001855BC"/>
    <w:rsid w:val="00190AC1"/>
    <w:rsid w:val="00191126"/>
    <w:rsid w:val="0019341A"/>
    <w:rsid w:val="00197DF9"/>
    <w:rsid w:val="001A1987"/>
    <w:rsid w:val="001A2564"/>
    <w:rsid w:val="001A397D"/>
    <w:rsid w:val="001A6173"/>
    <w:rsid w:val="001A6CBA"/>
    <w:rsid w:val="001B0D97"/>
    <w:rsid w:val="001B5812"/>
    <w:rsid w:val="001B5A5D"/>
    <w:rsid w:val="001B6830"/>
    <w:rsid w:val="001C1615"/>
    <w:rsid w:val="001C1CE5"/>
    <w:rsid w:val="001C3D2A"/>
    <w:rsid w:val="001C53D2"/>
    <w:rsid w:val="001D48A3"/>
    <w:rsid w:val="001D51BA"/>
    <w:rsid w:val="001D53E7"/>
    <w:rsid w:val="001D6342"/>
    <w:rsid w:val="001D6D53"/>
    <w:rsid w:val="001E5677"/>
    <w:rsid w:val="001E58E2"/>
    <w:rsid w:val="001E674C"/>
    <w:rsid w:val="001E7AED"/>
    <w:rsid w:val="001F1E0A"/>
    <w:rsid w:val="001F3916"/>
    <w:rsid w:val="001F54C5"/>
    <w:rsid w:val="001F662C"/>
    <w:rsid w:val="001F7074"/>
    <w:rsid w:val="00200490"/>
    <w:rsid w:val="00201F3A"/>
    <w:rsid w:val="00203F96"/>
    <w:rsid w:val="00204139"/>
    <w:rsid w:val="002069B2"/>
    <w:rsid w:val="00207FA3"/>
    <w:rsid w:val="00214DA8"/>
    <w:rsid w:val="00215423"/>
    <w:rsid w:val="002158FA"/>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8DA"/>
    <w:rsid w:val="00246A36"/>
    <w:rsid w:val="00247873"/>
    <w:rsid w:val="002500C8"/>
    <w:rsid w:val="00253365"/>
    <w:rsid w:val="00257543"/>
    <w:rsid w:val="0026074E"/>
    <w:rsid w:val="002617E7"/>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A454F"/>
    <w:rsid w:val="002A4744"/>
    <w:rsid w:val="002A4AB8"/>
    <w:rsid w:val="002B24D6"/>
    <w:rsid w:val="002B4722"/>
    <w:rsid w:val="002C3792"/>
    <w:rsid w:val="002C41E6"/>
    <w:rsid w:val="002D071A"/>
    <w:rsid w:val="002D2229"/>
    <w:rsid w:val="002D34B2"/>
    <w:rsid w:val="002D48B0"/>
    <w:rsid w:val="002D5B37"/>
    <w:rsid w:val="002D7637"/>
    <w:rsid w:val="002E17F2"/>
    <w:rsid w:val="002E7CAE"/>
    <w:rsid w:val="002E7DC8"/>
    <w:rsid w:val="002F2771"/>
    <w:rsid w:val="002F37A9"/>
    <w:rsid w:val="0030056E"/>
    <w:rsid w:val="00301CE6"/>
    <w:rsid w:val="0030224D"/>
    <w:rsid w:val="0030256B"/>
    <w:rsid w:val="0030501F"/>
    <w:rsid w:val="00307BA1"/>
    <w:rsid w:val="00311702"/>
    <w:rsid w:val="00311E82"/>
    <w:rsid w:val="00313FD6"/>
    <w:rsid w:val="003143BD"/>
    <w:rsid w:val="00315363"/>
    <w:rsid w:val="00317785"/>
    <w:rsid w:val="003203ED"/>
    <w:rsid w:val="003210D6"/>
    <w:rsid w:val="00322C9F"/>
    <w:rsid w:val="003233AD"/>
    <w:rsid w:val="00323A2C"/>
    <w:rsid w:val="00324D23"/>
    <w:rsid w:val="00326C0C"/>
    <w:rsid w:val="00331751"/>
    <w:rsid w:val="00334579"/>
    <w:rsid w:val="00335858"/>
    <w:rsid w:val="00336BDA"/>
    <w:rsid w:val="00342BD7"/>
    <w:rsid w:val="00346DB5"/>
    <w:rsid w:val="003477B1"/>
    <w:rsid w:val="00352821"/>
    <w:rsid w:val="00353A83"/>
    <w:rsid w:val="00353E35"/>
    <w:rsid w:val="003563EC"/>
    <w:rsid w:val="00357380"/>
    <w:rsid w:val="003602D9"/>
    <w:rsid w:val="003604CE"/>
    <w:rsid w:val="003609FC"/>
    <w:rsid w:val="00363F9E"/>
    <w:rsid w:val="00370E47"/>
    <w:rsid w:val="00372B39"/>
    <w:rsid w:val="003742AC"/>
    <w:rsid w:val="003750CB"/>
    <w:rsid w:val="00376BB5"/>
    <w:rsid w:val="00377CE1"/>
    <w:rsid w:val="003821DF"/>
    <w:rsid w:val="00385BF0"/>
    <w:rsid w:val="00390978"/>
    <w:rsid w:val="003939FF"/>
    <w:rsid w:val="00393FEC"/>
    <w:rsid w:val="0039474D"/>
    <w:rsid w:val="003948A3"/>
    <w:rsid w:val="00395E16"/>
    <w:rsid w:val="003A2223"/>
    <w:rsid w:val="003A2A0F"/>
    <w:rsid w:val="003A45A1"/>
    <w:rsid w:val="003A5B0A"/>
    <w:rsid w:val="003A5BC7"/>
    <w:rsid w:val="003A6BAC"/>
    <w:rsid w:val="003A70A4"/>
    <w:rsid w:val="003A7EF3"/>
    <w:rsid w:val="003B009F"/>
    <w:rsid w:val="003B159C"/>
    <w:rsid w:val="003B369F"/>
    <w:rsid w:val="003B36A3"/>
    <w:rsid w:val="003B419A"/>
    <w:rsid w:val="003B6326"/>
    <w:rsid w:val="003B64BB"/>
    <w:rsid w:val="003B6C73"/>
    <w:rsid w:val="003B7B8E"/>
    <w:rsid w:val="003B7FE5"/>
    <w:rsid w:val="003C06E7"/>
    <w:rsid w:val="003C11C8"/>
    <w:rsid w:val="003C2702"/>
    <w:rsid w:val="003C7806"/>
    <w:rsid w:val="003D109F"/>
    <w:rsid w:val="003D2478"/>
    <w:rsid w:val="003D2A1A"/>
    <w:rsid w:val="003D308F"/>
    <w:rsid w:val="003D3C45"/>
    <w:rsid w:val="003D5B1F"/>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263E"/>
    <w:rsid w:val="00413AAC"/>
    <w:rsid w:val="00413E92"/>
    <w:rsid w:val="0041532D"/>
    <w:rsid w:val="004158DF"/>
    <w:rsid w:val="00421105"/>
    <w:rsid w:val="00422AA4"/>
    <w:rsid w:val="004234F9"/>
    <w:rsid w:val="004242F4"/>
    <w:rsid w:val="00427248"/>
    <w:rsid w:val="00430A9D"/>
    <w:rsid w:val="00437447"/>
    <w:rsid w:val="00441A92"/>
    <w:rsid w:val="004431DC"/>
    <w:rsid w:val="0044436A"/>
    <w:rsid w:val="00444785"/>
    <w:rsid w:val="00444F56"/>
    <w:rsid w:val="00446488"/>
    <w:rsid w:val="004517AA"/>
    <w:rsid w:val="00452CAC"/>
    <w:rsid w:val="00457565"/>
    <w:rsid w:val="00457B71"/>
    <w:rsid w:val="004625AE"/>
    <w:rsid w:val="004669E2"/>
    <w:rsid w:val="00470C31"/>
    <w:rsid w:val="00471DE0"/>
    <w:rsid w:val="004734D0"/>
    <w:rsid w:val="0047556B"/>
    <w:rsid w:val="004764BD"/>
    <w:rsid w:val="00477768"/>
    <w:rsid w:val="00483FA9"/>
    <w:rsid w:val="00492BC5"/>
    <w:rsid w:val="00494192"/>
    <w:rsid w:val="004964F1"/>
    <w:rsid w:val="00496CBB"/>
    <w:rsid w:val="004972B8"/>
    <w:rsid w:val="004A0D39"/>
    <w:rsid w:val="004A16BC"/>
    <w:rsid w:val="004A27E2"/>
    <w:rsid w:val="004A2B94"/>
    <w:rsid w:val="004A6E83"/>
    <w:rsid w:val="004B6CB8"/>
    <w:rsid w:val="004B6F6A"/>
    <w:rsid w:val="004B7C0C"/>
    <w:rsid w:val="004C118F"/>
    <w:rsid w:val="004C1E6F"/>
    <w:rsid w:val="004C3898"/>
    <w:rsid w:val="004C3F4E"/>
    <w:rsid w:val="004D36B1"/>
    <w:rsid w:val="004D7EBD"/>
    <w:rsid w:val="004E0961"/>
    <w:rsid w:val="004E2680"/>
    <w:rsid w:val="004E28F9"/>
    <w:rsid w:val="004E462E"/>
    <w:rsid w:val="004E56DC"/>
    <w:rsid w:val="004E76F4"/>
    <w:rsid w:val="004F08EE"/>
    <w:rsid w:val="004F0B4E"/>
    <w:rsid w:val="004F0B6C"/>
    <w:rsid w:val="004F2078"/>
    <w:rsid w:val="004F2446"/>
    <w:rsid w:val="004F46CF"/>
    <w:rsid w:val="004F4DA3"/>
    <w:rsid w:val="004F7C25"/>
    <w:rsid w:val="00506557"/>
    <w:rsid w:val="0050677A"/>
    <w:rsid w:val="005108D8"/>
    <w:rsid w:val="005116F9"/>
    <w:rsid w:val="00514803"/>
    <w:rsid w:val="0051506E"/>
    <w:rsid w:val="005153A7"/>
    <w:rsid w:val="00516B29"/>
    <w:rsid w:val="005219CF"/>
    <w:rsid w:val="0052513D"/>
    <w:rsid w:val="00527BD0"/>
    <w:rsid w:val="005326CB"/>
    <w:rsid w:val="00534B59"/>
    <w:rsid w:val="00536759"/>
    <w:rsid w:val="00537C62"/>
    <w:rsid w:val="0054123E"/>
    <w:rsid w:val="00546970"/>
    <w:rsid w:val="00554E19"/>
    <w:rsid w:val="00557937"/>
    <w:rsid w:val="0056121F"/>
    <w:rsid w:val="00572505"/>
    <w:rsid w:val="00575410"/>
    <w:rsid w:val="00577948"/>
    <w:rsid w:val="00581529"/>
    <w:rsid w:val="00582809"/>
    <w:rsid w:val="0058798C"/>
    <w:rsid w:val="005900FA"/>
    <w:rsid w:val="005935A4"/>
    <w:rsid w:val="005948C2"/>
    <w:rsid w:val="00595DCA"/>
    <w:rsid w:val="0059779B"/>
    <w:rsid w:val="005A209A"/>
    <w:rsid w:val="005A662D"/>
    <w:rsid w:val="005A75F7"/>
    <w:rsid w:val="005B1409"/>
    <w:rsid w:val="005B202B"/>
    <w:rsid w:val="005B35D7"/>
    <w:rsid w:val="005B392A"/>
    <w:rsid w:val="005B3AA3"/>
    <w:rsid w:val="005B6F83"/>
    <w:rsid w:val="005C0EF3"/>
    <w:rsid w:val="005C1562"/>
    <w:rsid w:val="005C4939"/>
    <w:rsid w:val="005C538D"/>
    <w:rsid w:val="005C74FB"/>
    <w:rsid w:val="005D1602"/>
    <w:rsid w:val="005D51AB"/>
    <w:rsid w:val="005D7056"/>
    <w:rsid w:val="005E0972"/>
    <w:rsid w:val="005E385F"/>
    <w:rsid w:val="005E5B81"/>
    <w:rsid w:val="005F2CB1"/>
    <w:rsid w:val="005F3025"/>
    <w:rsid w:val="005F499C"/>
    <w:rsid w:val="005F618C"/>
    <w:rsid w:val="005F70BD"/>
    <w:rsid w:val="0060035A"/>
    <w:rsid w:val="0060283C"/>
    <w:rsid w:val="0060320F"/>
    <w:rsid w:val="00604F14"/>
    <w:rsid w:val="00606498"/>
    <w:rsid w:val="00607A82"/>
    <w:rsid w:val="00611B83"/>
    <w:rsid w:val="00613257"/>
    <w:rsid w:val="00620A71"/>
    <w:rsid w:val="00620D80"/>
    <w:rsid w:val="006234A6"/>
    <w:rsid w:val="006255E7"/>
    <w:rsid w:val="00626F72"/>
    <w:rsid w:val="00630001"/>
    <w:rsid w:val="006311B3"/>
    <w:rsid w:val="0063284C"/>
    <w:rsid w:val="00636398"/>
    <w:rsid w:val="006368D3"/>
    <w:rsid w:val="006377EC"/>
    <w:rsid w:val="0064151F"/>
    <w:rsid w:val="00641533"/>
    <w:rsid w:val="0064208D"/>
    <w:rsid w:val="00643475"/>
    <w:rsid w:val="0064396A"/>
    <w:rsid w:val="0064504D"/>
    <w:rsid w:val="00645D63"/>
    <w:rsid w:val="0064624E"/>
    <w:rsid w:val="00650AB9"/>
    <w:rsid w:val="006537BE"/>
    <w:rsid w:val="00655733"/>
    <w:rsid w:val="00655ACD"/>
    <w:rsid w:val="00656A92"/>
    <w:rsid w:val="00656DDE"/>
    <w:rsid w:val="0066011D"/>
    <w:rsid w:val="006607C0"/>
    <w:rsid w:val="006613A6"/>
    <w:rsid w:val="006627A2"/>
    <w:rsid w:val="006634E6"/>
    <w:rsid w:val="006642C4"/>
    <w:rsid w:val="006655EE"/>
    <w:rsid w:val="00667EE7"/>
    <w:rsid w:val="00670922"/>
    <w:rsid w:val="00670BE1"/>
    <w:rsid w:val="00671D22"/>
    <w:rsid w:val="0067218F"/>
    <w:rsid w:val="00673D86"/>
    <w:rsid w:val="006741F2"/>
    <w:rsid w:val="00674CC3"/>
    <w:rsid w:val="00675C72"/>
    <w:rsid w:val="006771F9"/>
    <w:rsid w:val="006776D7"/>
    <w:rsid w:val="006805FA"/>
    <w:rsid w:val="00681003"/>
    <w:rsid w:val="006817C9"/>
    <w:rsid w:val="00683ECE"/>
    <w:rsid w:val="00686F39"/>
    <w:rsid w:val="00687288"/>
    <w:rsid w:val="00694A8F"/>
    <w:rsid w:val="00695963"/>
    <w:rsid w:val="00695FC2"/>
    <w:rsid w:val="00696949"/>
    <w:rsid w:val="00697052"/>
    <w:rsid w:val="0069749B"/>
    <w:rsid w:val="006A46FB"/>
    <w:rsid w:val="006A59C0"/>
    <w:rsid w:val="006A5E28"/>
    <w:rsid w:val="006A697B"/>
    <w:rsid w:val="006A7AFF"/>
    <w:rsid w:val="006B1816"/>
    <w:rsid w:val="006B2099"/>
    <w:rsid w:val="006B217F"/>
    <w:rsid w:val="006B29D0"/>
    <w:rsid w:val="006B4056"/>
    <w:rsid w:val="006B50CF"/>
    <w:rsid w:val="006C03B8"/>
    <w:rsid w:val="006C20BD"/>
    <w:rsid w:val="006C2277"/>
    <w:rsid w:val="006C5EC9"/>
    <w:rsid w:val="006C6059"/>
    <w:rsid w:val="006C6FDE"/>
    <w:rsid w:val="006C7262"/>
    <w:rsid w:val="006C7522"/>
    <w:rsid w:val="006D2CCE"/>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4C49"/>
    <w:rsid w:val="006F58D4"/>
    <w:rsid w:val="006F6582"/>
    <w:rsid w:val="0070346E"/>
    <w:rsid w:val="00704501"/>
    <w:rsid w:val="00704EDB"/>
    <w:rsid w:val="00706101"/>
    <w:rsid w:val="00707072"/>
    <w:rsid w:val="00707D61"/>
    <w:rsid w:val="00712287"/>
    <w:rsid w:val="00712772"/>
    <w:rsid w:val="007148D3"/>
    <w:rsid w:val="00715B9A"/>
    <w:rsid w:val="00720999"/>
    <w:rsid w:val="00721CED"/>
    <w:rsid w:val="007257D0"/>
    <w:rsid w:val="00726EA6"/>
    <w:rsid w:val="00727208"/>
    <w:rsid w:val="00727680"/>
    <w:rsid w:val="00731FA3"/>
    <w:rsid w:val="00733D5B"/>
    <w:rsid w:val="007348B1"/>
    <w:rsid w:val="007362A6"/>
    <w:rsid w:val="00736D7D"/>
    <w:rsid w:val="00740E58"/>
    <w:rsid w:val="007445A0"/>
    <w:rsid w:val="0074514E"/>
    <w:rsid w:val="0074524B"/>
    <w:rsid w:val="00747D8B"/>
    <w:rsid w:val="00751228"/>
    <w:rsid w:val="007553A6"/>
    <w:rsid w:val="007571E1"/>
    <w:rsid w:val="007604B2"/>
    <w:rsid w:val="00761E83"/>
    <w:rsid w:val="00762940"/>
    <w:rsid w:val="00765281"/>
    <w:rsid w:val="00766BAD"/>
    <w:rsid w:val="007729A2"/>
    <w:rsid w:val="007755F2"/>
    <w:rsid w:val="00776971"/>
    <w:rsid w:val="00780A80"/>
    <w:rsid w:val="0078177E"/>
    <w:rsid w:val="0078304C"/>
    <w:rsid w:val="00783673"/>
    <w:rsid w:val="007842B3"/>
    <w:rsid w:val="00785490"/>
    <w:rsid w:val="00785FB5"/>
    <w:rsid w:val="00787536"/>
    <w:rsid w:val="00787678"/>
    <w:rsid w:val="007910D0"/>
    <w:rsid w:val="007925EA"/>
    <w:rsid w:val="00793CD8"/>
    <w:rsid w:val="00795C92"/>
    <w:rsid w:val="00796231"/>
    <w:rsid w:val="007A0AD3"/>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6A"/>
    <w:rsid w:val="007C77A5"/>
    <w:rsid w:val="007D04E5"/>
    <w:rsid w:val="007D5652"/>
    <w:rsid w:val="007D5901"/>
    <w:rsid w:val="007D7526"/>
    <w:rsid w:val="007E1F40"/>
    <w:rsid w:val="007E4610"/>
    <w:rsid w:val="007E4715"/>
    <w:rsid w:val="007E505B"/>
    <w:rsid w:val="007E7091"/>
    <w:rsid w:val="007E723E"/>
    <w:rsid w:val="007F2276"/>
    <w:rsid w:val="007F68A8"/>
    <w:rsid w:val="00801135"/>
    <w:rsid w:val="00803FAE"/>
    <w:rsid w:val="008058F4"/>
    <w:rsid w:val="00805C7F"/>
    <w:rsid w:val="0080605F"/>
    <w:rsid w:val="00807786"/>
    <w:rsid w:val="00811FCB"/>
    <w:rsid w:val="008158D6"/>
    <w:rsid w:val="00817196"/>
    <w:rsid w:val="0082257F"/>
    <w:rsid w:val="008235DB"/>
    <w:rsid w:val="00824AB4"/>
    <w:rsid w:val="00825A16"/>
    <w:rsid w:val="00825C42"/>
    <w:rsid w:val="00825D25"/>
    <w:rsid w:val="008278BA"/>
    <w:rsid w:val="00827D6F"/>
    <w:rsid w:val="00835FE0"/>
    <w:rsid w:val="00836D3B"/>
    <w:rsid w:val="008373AA"/>
    <w:rsid w:val="008376AC"/>
    <w:rsid w:val="008444E8"/>
    <w:rsid w:val="00844E80"/>
    <w:rsid w:val="00846FE7"/>
    <w:rsid w:val="00847F06"/>
    <w:rsid w:val="00850D85"/>
    <w:rsid w:val="00854EFB"/>
    <w:rsid w:val="00856911"/>
    <w:rsid w:val="00857CEC"/>
    <w:rsid w:val="00863A63"/>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58D9"/>
    <w:rsid w:val="00890A62"/>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0937"/>
    <w:rsid w:val="008B120C"/>
    <w:rsid w:val="008B51A0"/>
    <w:rsid w:val="008B592A"/>
    <w:rsid w:val="008B5E21"/>
    <w:rsid w:val="008B607A"/>
    <w:rsid w:val="008B7B5C"/>
    <w:rsid w:val="008C0C99"/>
    <w:rsid w:val="008C2017"/>
    <w:rsid w:val="008C4958"/>
    <w:rsid w:val="008C4BAA"/>
    <w:rsid w:val="008C6AE8"/>
    <w:rsid w:val="008C7573"/>
    <w:rsid w:val="008D00A5"/>
    <w:rsid w:val="008D1FE4"/>
    <w:rsid w:val="008D2415"/>
    <w:rsid w:val="008D2AD7"/>
    <w:rsid w:val="008D34F1"/>
    <w:rsid w:val="008D39D8"/>
    <w:rsid w:val="008D6D1A"/>
    <w:rsid w:val="008E065E"/>
    <w:rsid w:val="008E0927"/>
    <w:rsid w:val="008E1699"/>
    <w:rsid w:val="008E1909"/>
    <w:rsid w:val="008E3BC2"/>
    <w:rsid w:val="008F1304"/>
    <w:rsid w:val="008F1EAB"/>
    <w:rsid w:val="008F25CB"/>
    <w:rsid w:val="008F33DC"/>
    <w:rsid w:val="008F477F"/>
    <w:rsid w:val="009003A8"/>
    <w:rsid w:val="00902350"/>
    <w:rsid w:val="0090336B"/>
    <w:rsid w:val="00903AC1"/>
    <w:rsid w:val="009053AA"/>
    <w:rsid w:val="00906939"/>
    <w:rsid w:val="00906FF1"/>
    <w:rsid w:val="0091004E"/>
    <w:rsid w:val="00910B7D"/>
    <w:rsid w:val="00911A1C"/>
    <w:rsid w:val="00911DFB"/>
    <w:rsid w:val="00912381"/>
    <w:rsid w:val="00913722"/>
    <w:rsid w:val="009139D9"/>
    <w:rsid w:val="00914AD8"/>
    <w:rsid w:val="00916079"/>
    <w:rsid w:val="00917CE9"/>
    <w:rsid w:val="00920A2C"/>
    <w:rsid w:val="00920BF2"/>
    <w:rsid w:val="00922010"/>
    <w:rsid w:val="00925ECE"/>
    <w:rsid w:val="00931BD9"/>
    <w:rsid w:val="0093360A"/>
    <w:rsid w:val="00933809"/>
    <w:rsid w:val="009368F3"/>
    <w:rsid w:val="00941636"/>
    <w:rsid w:val="00943742"/>
    <w:rsid w:val="00945C05"/>
    <w:rsid w:val="0094659B"/>
    <w:rsid w:val="00946945"/>
    <w:rsid w:val="00947713"/>
    <w:rsid w:val="00950DE7"/>
    <w:rsid w:val="00953920"/>
    <w:rsid w:val="00953D47"/>
    <w:rsid w:val="00955B1C"/>
    <w:rsid w:val="0095681E"/>
    <w:rsid w:val="009572D4"/>
    <w:rsid w:val="00961921"/>
    <w:rsid w:val="009620A2"/>
    <w:rsid w:val="0096430A"/>
    <w:rsid w:val="0096554B"/>
    <w:rsid w:val="0096577E"/>
    <w:rsid w:val="0096584A"/>
    <w:rsid w:val="00971F08"/>
    <w:rsid w:val="0097603D"/>
    <w:rsid w:val="00976949"/>
    <w:rsid w:val="00976C38"/>
    <w:rsid w:val="00980477"/>
    <w:rsid w:val="009826C7"/>
    <w:rsid w:val="00984B38"/>
    <w:rsid w:val="00985253"/>
    <w:rsid w:val="009853B3"/>
    <w:rsid w:val="009866E4"/>
    <w:rsid w:val="00987313"/>
    <w:rsid w:val="0098796D"/>
    <w:rsid w:val="00990630"/>
    <w:rsid w:val="00991761"/>
    <w:rsid w:val="00994DCA"/>
    <w:rsid w:val="009960EC"/>
    <w:rsid w:val="00996E32"/>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671"/>
    <w:rsid w:val="009D703C"/>
    <w:rsid w:val="009D718F"/>
    <w:rsid w:val="009D7866"/>
    <w:rsid w:val="009E068F"/>
    <w:rsid w:val="009E14E0"/>
    <w:rsid w:val="009E35DB"/>
    <w:rsid w:val="009E3D67"/>
    <w:rsid w:val="009E47A3"/>
    <w:rsid w:val="009F0157"/>
    <w:rsid w:val="009F08F3"/>
    <w:rsid w:val="009F13F9"/>
    <w:rsid w:val="009F344F"/>
    <w:rsid w:val="009F380A"/>
    <w:rsid w:val="00A031D8"/>
    <w:rsid w:val="00A048A8"/>
    <w:rsid w:val="00A04F49"/>
    <w:rsid w:val="00A05048"/>
    <w:rsid w:val="00A13E54"/>
    <w:rsid w:val="00A14228"/>
    <w:rsid w:val="00A142AF"/>
    <w:rsid w:val="00A15781"/>
    <w:rsid w:val="00A17F63"/>
    <w:rsid w:val="00A2089F"/>
    <w:rsid w:val="00A2193B"/>
    <w:rsid w:val="00A2351A"/>
    <w:rsid w:val="00A239B5"/>
    <w:rsid w:val="00A264A9"/>
    <w:rsid w:val="00A26DCF"/>
    <w:rsid w:val="00A27785"/>
    <w:rsid w:val="00A30187"/>
    <w:rsid w:val="00A3448A"/>
    <w:rsid w:val="00A35BE1"/>
    <w:rsid w:val="00A36297"/>
    <w:rsid w:val="00A41E2B"/>
    <w:rsid w:val="00A4289C"/>
    <w:rsid w:val="00A43A53"/>
    <w:rsid w:val="00A45B74"/>
    <w:rsid w:val="00A52E1D"/>
    <w:rsid w:val="00A52F84"/>
    <w:rsid w:val="00A53E37"/>
    <w:rsid w:val="00A55BEF"/>
    <w:rsid w:val="00A61499"/>
    <w:rsid w:val="00A62A77"/>
    <w:rsid w:val="00A63483"/>
    <w:rsid w:val="00A657D7"/>
    <w:rsid w:val="00A660AC"/>
    <w:rsid w:val="00A67E6C"/>
    <w:rsid w:val="00A712AC"/>
    <w:rsid w:val="00A71B99"/>
    <w:rsid w:val="00A739D0"/>
    <w:rsid w:val="00A761D4"/>
    <w:rsid w:val="00A77EC4"/>
    <w:rsid w:val="00A808CB"/>
    <w:rsid w:val="00A814A2"/>
    <w:rsid w:val="00A83C34"/>
    <w:rsid w:val="00A918C0"/>
    <w:rsid w:val="00A91B55"/>
    <w:rsid w:val="00A92879"/>
    <w:rsid w:val="00A9442A"/>
    <w:rsid w:val="00A96CFD"/>
    <w:rsid w:val="00AA016F"/>
    <w:rsid w:val="00AA1ED6"/>
    <w:rsid w:val="00AA23D9"/>
    <w:rsid w:val="00AA3B0B"/>
    <w:rsid w:val="00AA51D6"/>
    <w:rsid w:val="00AA5497"/>
    <w:rsid w:val="00AA66FA"/>
    <w:rsid w:val="00AB0425"/>
    <w:rsid w:val="00AB0BC8"/>
    <w:rsid w:val="00AB11CA"/>
    <w:rsid w:val="00AB14D9"/>
    <w:rsid w:val="00AB4AB8"/>
    <w:rsid w:val="00AB6361"/>
    <w:rsid w:val="00AB655E"/>
    <w:rsid w:val="00AB676B"/>
    <w:rsid w:val="00AC007F"/>
    <w:rsid w:val="00AC0F6A"/>
    <w:rsid w:val="00AC2ECD"/>
    <w:rsid w:val="00AC3119"/>
    <w:rsid w:val="00AC49FB"/>
    <w:rsid w:val="00AC5A10"/>
    <w:rsid w:val="00AD0AA3"/>
    <w:rsid w:val="00AD3B2D"/>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2F0B"/>
    <w:rsid w:val="00B151CF"/>
    <w:rsid w:val="00B157F9"/>
    <w:rsid w:val="00B160A3"/>
    <w:rsid w:val="00B20256"/>
    <w:rsid w:val="00B20D09"/>
    <w:rsid w:val="00B2339A"/>
    <w:rsid w:val="00B26853"/>
    <w:rsid w:val="00B2763F"/>
    <w:rsid w:val="00B27AAC"/>
    <w:rsid w:val="00B27E9A"/>
    <w:rsid w:val="00B30929"/>
    <w:rsid w:val="00B3477C"/>
    <w:rsid w:val="00B372AA"/>
    <w:rsid w:val="00B40445"/>
    <w:rsid w:val="00B409E0"/>
    <w:rsid w:val="00B41888"/>
    <w:rsid w:val="00B434E4"/>
    <w:rsid w:val="00B45A52"/>
    <w:rsid w:val="00B46175"/>
    <w:rsid w:val="00B46AEF"/>
    <w:rsid w:val="00B548B7"/>
    <w:rsid w:val="00B54E77"/>
    <w:rsid w:val="00B664C7"/>
    <w:rsid w:val="00B735F0"/>
    <w:rsid w:val="00B739F6"/>
    <w:rsid w:val="00B7734A"/>
    <w:rsid w:val="00B803A2"/>
    <w:rsid w:val="00B81A6C"/>
    <w:rsid w:val="00B8340C"/>
    <w:rsid w:val="00B85DE5"/>
    <w:rsid w:val="00B866EC"/>
    <w:rsid w:val="00B86C1A"/>
    <w:rsid w:val="00B90F73"/>
    <w:rsid w:val="00B91045"/>
    <w:rsid w:val="00B93B59"/>
    <w:rsid w:val="00B9406A"/>
    <w:rsid w:val="00BA2280"/>
    <w:rsid w:val="00BA2A08"/>
    <w:rsid w:val="00BA2E31"/>
    <w:rsid w:val="00BA56D2"/>
    <w:rsid w:val="00BA5BC3"/>
    <w:rsid w:val="00BA76E0"/>
    <w:rsid w:val="00BB1F13"/>
    <w:rsid w:val="00BB2A25"/>
    <w:rsid w:val="00BB51E9"/>
    <w:rsid w:val="00BB6C99"/>
    <w:rsid w:val="00BC0FDC"/>
    <w:rsid w:val="00BC3053"/>
    <w:rsid w:val="00BC36FA"/>
    <w:rsid w:val="00BC4D2E"/>
    <w:rsid w:val="00BD3B4C"/>
    <w:rsid w:val="00BD48AC"/>
    <w:rsid w:val="00BD5F1A"/>
    <w:rsid w:val="00BD6D3F"/>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2E2"/>
    <w:rsid w:val="00C07377"/>
    <w:rsid w:val="00C10478"/>
    <w:rsid w:val="00C10E2F"/>
    <w:rsid w:val="00C12107"/>
    <w:rsid w:val="00C14BEF"/>
    <w:rsid w:val="00C14D4B"/>
    <w:rsid w:val="00C154BB"/>
    <w:rsid w:val="00C16376"/>
    <w:rsid w:val="00C20AF7"/>
    <w:rsid w:val="00C220D8"/>
    <w:rsid w:val="00C24852"/>
    <w:rsid w:val="00C279B5"/>
    <w:rsid w:val="00C27C45"/>
    <w:rsid w:val="00C354E8"/>
    <w:rsid w:val="00C35CF7"/>
    <w:rsid w:val="00C3719D"/>
    <w:rsid w:val="00C37CB2"/>
    <w:rsid w:val="00C44FFB"/>
    <w:rsid w:val="00C473A5"/>
    <w:rsid w:val="00C51370"/>
    <w:rsid w:val="00C51AB7"/>
    <w:rsid w:val="00C54995"/>
    <w:rsid w:val="00C54D41"/>
    <w:rsid w:val="00C60783"/>
    <w:rsid w:val="00C6371A"/>
    <w:rsid w:val="00C64672"/>
    <w:rsid w:val="00C66B1B"/>
    <w:rsid w:val="00C70697"/>
    <w:rsid w:val="00C712E5"/>
    <w:rsid w:val="00C72093"/>
    <w:rsid w:val="00C72EF4"/>
    <w:rsid w:val="00C744FE"/>
    <w:rsid w:val="00C746D1"/>
    <w:rsid w:val="00C747C0"/>
    <w:rsid w:val="00C75CED"/>
    <w:rsid w:val="00C75D2F"/>
    <w:rsid w:val="00C767BE"/>
    <w:rsid w:val="00C76E3C"/>
    <w:rsid w:val="00C77FBC"/>
    <w:rsid w:val="00C81568"/>
    <w:rsid w:val="00C83637"/>
    <w:rsid w:val="00C83DC2"/>
    <w:rsid w:val="00C9027A"/>
    <w:rsid w:val="00C9068E"/>
    <w:rsid w:val="00C90BD0"/>
    <w:rsid w:val="00C93814"/>
    <w:rsid w:val="00C93C4B"/>
    <w:rsid w:val="00C944AB"/>
    <w:rsid w:val="00C95B40"/>
    <w:rsid w:val="00C9704F"/>
    <w:rsid w:val="00CA1ED8"/>
    <w:rsid w:val="00CB1F63"/>
    <w:rsid w:val="00CB5C5F"/>
    <w:rsid w:val="00CB7170"/>
    <w:rsid w:val="00CC040E"/>
    <w:rsid w:val="00CC111F"/>
    <w:rsid w:val="00CC2011"/>
    <w:rsid w:val="00CC3AC6"/>
    <w:rsid w:val="00CC3EA0"/>
    <w:rsid w:val="00CC7B45"/>
    <w:rsid w:val="00CD1188"/>
    <w:rsid w:val="00CD2ED1"/>
    <w:rsid w:val="00CD337B"/>
    <w:rsid w:val="00CD7CF5"/>
    <w:rsid w:val="00CE0424"/>
    <w:rsid w:val="00CE2016"/>
    <w:rsid w:val="00CE316E"/>
    <w:rsid w:val="00CE7561"/>
    <w:rsid w:val="00CF0FF8"/>
    <w:rsid w:val="00CF1157"/>
    <w:rsid w:val="00CF1354"/>
    <w:rsid w:val="00CF3B1F"/>
    <w:rsid w:val="00CF3BF6"/>
    <w:rsid w:val="00CF625B"/>
    <w:rsid w:val="00CF687E"/>
    <w:rsid w:val="00D015CD"/>
    <w:rsid w:val="00D0245F"/>
    <w:rsid w:val="00D02795"/>
    <w:rsid w:val="00D0349B"/>
    <w:rsid w:val="00D10249"/>
    <w:rsid w:val="00D115C3"/>
    <w:rsid w:val="00D11897"/>
    <w:rsid w:val="00D121A5"/>
    <w:rsid w:val="00D13135"/>
    <w:rsid w:val="00D13E4E"/>
    <w:rsid w:val="00D14445"/>
    <w:rsid w:val="00D172DC"/>
    <w:rsid w:val="00D21473"/>
    <w:rsid w:val="00D239A7"/>
    <w:rsid w:val="00D23F47"/>
    <w:rsid w:val="00D251B4"/>
    <w:rsid w:val="00D25666"/>
    <w:rsid w:val="00D36E71"/>
    <w:rsid w:val="00D37D87"/>
    <w:rsid w:val="00D40B33"/>
    <w:rsid w:val="00D42020"/>
    <w:rsid w:val="00D429E3"/>
    <w:rsid w:val="00D4318F"/>
    <w:rsid w:val="00D438BF"/>
    <w:rsid w:val="00D440F8"/>
    <w:rsid w:val="00D5348F"/>
    <w:rsid w:val="00D53E3F"/>
    <w:rsid w:val="00D542A9"/>
    <w:rsid w:val="00D546FF"/>
    <w:rsid w:val="00D55AD5"/>
    <w:rsid w:val="00D576CA"/>
    <w:rsid w:val="00D60264"/>
    <w:rsid w:val="00D61AF5"/>
    <w:rsid w:val="00D652B5"/>
    <w:rsid w:val="00D65D3B"/>
    <w:rsid w:val="00D66155"/>
    <w:rsid w:val="00D708B0"/>
    <w:rsid w:val="00D71563"/>
    <w:rsid w:val="00D75223"/>
    <w:rsid w:val="00D755E8"/>
    <w:rsid w:val="00D762A5"/>
    <w:rsid w:val="00D77B1D"/>
    <w:rsid w:val="00D800B7"/>
    <w:rsid w:val="00D8021F"/>
    <w:rsid w:val="00D80383"/>
    <w:rsid w:val="00D80CAE"/>
    <w:rsid w:val="00D823C6"/>
    <w:rsid w:val="00D8327F"/>
    <w:rsid w:val="00D83D10"/>
    <w:rsid w:val="00D83E49"/>
    <w:rsid w:val="00D86CA3"/>
    <w:rsid w:val="00D871CE"/>
    <w:rsid w:val="00D91769"/>
    <w:rsid w:val="00D9196D"/>
    <w:rsid w:val="00D92982"/>
    <w:rsid w:val="00D94915"/>
    <w:rsid w:val="00DA305E"/>
    <w:rsid w:val="00DA5417"/>
    <w:rsid w:val="00DA56E8"/>
    <w:rsid w:val="00DB043D"/>
    <w:rsid w:val="00DB0A9F"/>
    <w:rsid w:val="00DB377D"/>
    <w:rsid w:val="00DB6992"/>
    <w:rsid w:val="00DC187F"/>
    <w:rsid w:val="00DC2D36"/>
    <w:rsid w:val="00DC3FB4"/>
    <w:rsid w:val="00DC53EF"/>
    <w:rsid w:val="00DD1427"/>
    <w:rsid w:val="00DD79FA"/>
    <w:rsid w:val="00DE5608"/>
    <w:rsid w:val="00DE58D0"/>
    <w:rsid w:val="00DE621A"/>
    <w:rsid w:val="00DE654F"/>
    <w:rsid w:val="00DF0B6E"/>
    <w:rsid w:val="00DF15E0"/>
    <w:rsid w:val="00DF37A0"/>
    <w:rsid w:val="00DF4DC6"/>
    <w:rsid w:val="00E014A3"/>
    <w:rsid w:val="00E01D63"/>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1D87"/>
    <w:rsid w:val="00E321BD"/>
    <w:rsid w:val="00E32608"/>
    <w:rsid w:val="00E34188"/>
    <w:rsid w:val="00E343D2"/>
    <w:rsid w:val="00E34B6E"/>
    <w:rsid w:val="00E35559"/>
    <w:rsid w:val="00E3723A"/>
    <w:rsid w:val="00E37860"/>
    <w:rsid w:val="00E414A0"/>
    <w:rsid w:val="00E41C25"/>
    <w:rsid w:val="00E420D0"/>
    <w:rsid w:val="00E42F33"/>
    <w:rsid w:val="00E4300B"/>
    <w:rsid w:val="00E446F1"/>
    <w:rsid w:val="00E455C2"/>
    <w:rsid w:val="00E46886"/>
    <w:rsid w:val="00E47AEF"/>
    <w:rsid w:val="00E53B75"/>
    <w:rsid w:val="00E54E3B"/>
    <w:rsid w:val="00E56958"/>
    <w:rsid w:val="00E57565"/>
    <w:rsid w:val="00E6165D"/>
    <w:rsid w:val="00E6166C"/>
    <w:rsid w:val="00E61933"/>
    <w:rsid w:val="00E631C5"/>
    <w:rsid w:val="00E63838"/>
    <w:rsid w:val="00E64434"/>
    <w:rsid w:val="00E67C51"/>
    <w:rsid w:val="00E72EFC"/>
    <w:rsid w:val="00E745A7"/>
    <w:rsid w:val="00E758EC"/>
    <w:rsid w:val="00E815F6"/>
    <w:rsid w:val="00E8234C"/>
    <w:rsid w:val="00E83AA9"/>
    <w:rsid w:val="00E83B8C"/>
    <w:rsid w:val="00E8459A"/>
    <w:rsid w:val="00E85928"/>
    <w:rsid w:val="00E87365"/>
    <w:rsid w:val="00E87822"/>
    <w:rsid w:val="00E90395"/>
    <w:rsid w:val="00E90E49"/>
    <w:rsid w:val="00E917F9"/>
    <w:rsid w:val="00E9291C"/>
    <w:rsid w:val="00E93FFE"/>
    <w:rsid w:val="00E94F8A"/>
    <w:rsid w:val="00EA63EF"/>
    <w:rsid w:val="00EA7A41"/>
    <w:rsid w:val="00EB077B"/>
    <w:rsid w:val="00EB4EA2"/>
    <w:rsid w:val="00EB6D27"/>
    <w:rsid w:val="00EC0EBF"/>
    <w:rsid w:val="00EC0FB6"/>
    <w:rsid w:val="00EC24D5"/>
    <w:rsid w:val="00EC27C6"/>
    <w:rsid w:val="00EC4207"/>
    <w:rsid w:val="00EC5653"/>
    <w:rsid w:val="00EC71CE"/>
    <w:rsid w:val="00EC7650"/>
    <w:rsid w:val="00EC7EFE"/>
    <w:rsid w:val="00ED1006"/>
    <w:rsid w:val="00ED2B7B"/>
    <w:rsid w:val="00EE4853"/>
    <w:rsid w:val="00EF0BDD"/>
    <w:rsid w:val="00EF18FE"/>
    <w:rsid w:val="00EF5787"/>
    <w:rsid w:val="00EF60D0"/>
    <w:rsid w:val="00F00ED4"/>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373EF"/>
    <w:rsid w:val="00F40F0C"/>
    <w:rsid w:val="00F41E17"/>
    <w:rsid w:val="00F4440C"/>
    <w:rsid w:val="00F4766C"/>
    <w:rsid w:val="00F5060E"/>
    <w:rsid w:val="00F507D1"/>
    <w:rsid w:val="00F519CE"/>
    <w:rsid w:val="00F51ADA"/>
    <w:rsid w:val="00F529AE"/>
    <w:rsid w:val="00F54003"/>
    <w:rsid w:val="00F556B1"/>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2456"/>
    <w:rsid w:val="00F8456C"/>
    <w:rsid w:val="00F85389"/>
    <w:rsid w:val="00F859D8"/>
    <w:rsid w:val="00F868F5"/>
    <w:rsid w:val="00F878E0"/>
    <w:rsid w:val="00F87C5D"/>
    <w:rsid w:val="00F9056A"/>
    <w:rsid w:val="00F90F8D"/>
    <w:rsid w:val="00F92782"/>
    <w:rsid w:val="00F93AA9"/>
    <w:rsid w:val="00F96985"/>
    <w:rsid w:val="00F9716F"/>
    <w:rsid w:val="00F97838"/>
    <w:rsid w:val="00FA2BB3"/>
    <w:rsid w:val="00FA2C39"/>
    <w:rsid w:val="00FB0575"/>
    <w:rsid w:val="00FB096E"/>
    <w:rsid w:val="00FB391C"/>
    <w:rsid w:val="00FB3FB6"/>
    <w:rsid w:val="00FB426F"/>
    <w:rsid w:val="00FB4C80"/>
    <w:rsid w:val="00FB4E1B"/>
    <w:rsid w:val="00FB5325"/>
    <w:rsid w:val="00FB6A6A"/>
    <w:rsid w:val="00FC1D21"/>
    <w:rsid w:val="00FC51F1"/>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0AB"/>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90"/>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87</TotalTime>
  <Pages>5</Pages>
  <Words>1716</Words>
  <Characters>13907</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15592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(Pasi Laitinen)</cp:lastModifiedBy>
  <cp:revision>2</cp:revision>
  <cp:lastPrinted>2008-01-31T07:09:00Z</cp:lastPrinted>
  <dcterms:created xsi:type="dcterms:W3CDTF">2026-01-21T06:37:00Z</dcterms:created>
  <dcterms:modified xsi:type="dcterms:W3CDTF">2026-01-29T12:09:00Z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